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74"/>
        <w:ind w:left="4220" w:right="4238" w:firstLine="0"/>
        <w:jc w:val="center"/>
        <w:rPr>
          <w:b/>
          <w:i/>
          <w:sz w:val="28"/>
        </w:rPr>
      </w:pPr>
      <w:bookmarkStart w:name="Sackett v. EPA" w:id="1"/>
      <w:bookmarkEnd w:id="1"/>
      <w:r>
        <w:rPr/>
      </w:r>
      <w:hyperlink r:id="rId5">
        <w:r>
          <w:rPr>
            <w:b/>
            <w:i/>
            <w:color w:val="0077CC"/>
            <w:sz w:val="28"/>
            <w:u w:val="thick" w:color="0077CC"/>
          </w:rPr>
          <w:t>Sackett v. EPA</w:t>
        </w:r>
      </w:hyperlink>
    </w:p>
    <w:p>
      <w:pPr>
        <w:pStyle w:val="BodyText"/>
        <w:spacing w:before="10"/>
        <w:rPr>
          <w:b/>
          <w:i/>
          <w:sz w:val="11"/>
        </w:rPr>
      </w:pPr>
    </w:p>
    <w:p>
      <w:pPr>
        <w:pStyle w:val="BodyText"/>
        <w:spacing w:line="396" w:lineRule="auto" w:before="93"/>
        <w:ind w:left="2951" w:right="2952" w:firstLine="683"/>
      </w:pPr>
      <w:r>
        <w:rPr/>
        <w:t>Supreme Court of the United States January 9, 2012, Argued; March 21, 2012, Decided</w:t>
      </w:r>
    </w:p>
    <w:p>
      <w:pPr>
        <w:pStyle w:val="BodyText"/>
        <w:spacing w:before="1"/>
        <w:ind w:left="4669"/>
      </w:pPr>
      <w:r>
        <w:rPr/>
        <w:t>No. 10-1062</w:t>
      </w:r>
    </w:p>
    <w:p>
      <w:pPr>
        <w:pStyle w:val="BodyText"/>
        <w:spacing w:before="3"/>
      </w:pPr>
    </w:p>
    <w:p>
      <w:pPr>
        <w:spacing w:before="0"/>
        <w:ind w:left="100" w:right="0" w:firstLine="0"/>
        <w:jc w:val="left"/>
        <w:rPr>
          <w:b/>
          <w:sz w:val="18"/>
        </w:rPr>
      </w:pPr>
      <w:bookmarkStart w:name="Reporter" w:id="2"/>
      <w:bookmarkEnd w:id="2"/>
      <w:r>
        <w:rPr/>
      </w:r>
      <w:r>
        <w:rPr>
          <w:b/>
          <w:sz w:val="18"/>
        </w:rPr>
        <w:t>Reporter</w:t>
      </w:r>
    </w:p>
    <w:p>
      <w:pPr>
        <w:spacing w:before="33"/>
        <w:ind w:left="100" w:right="0" w:firstLine="0"/>
        <w:jc w:val="left"/>
        <w:rPr>
          <w:sz w:val="18"/>
        </w:rPr>
      </w:pPr>
      <w:r>
        <w:rPr>
          <w:sz w:val="18"/>
        </w:rPr>
        <w:t>566 U.S. 120 *; 132 S. Ct. 1367 **; 182 L. Ed. 2d 367 ***; 2012 U.S. LEXIS 2320 ****; 80 U.S.L.W. 4240; 42 ELR 20064; 73 ERC</w:t>
      </w:r>
    </w:p>
    <w:p>
      <w:pPr>
        <w:spacing w:before="33"/>
        <w:ind w:left="100" w:right="0" w:firstLine="0"/>
        <w:jc w:val="left"/>
        <w:rPr>
          <w:sz w:val="18"/>
        </w:rPr>
      </w:pPr>
      <w:r>
        <w:rPr>
          <w:sz w:val="18"/>
        </w:rPr>
        <w:t>(BNA) 2121; 23 Fla. L. Weekly Fed. S 195; 2012 WL 932018</w:t>
      </w:r>
    </w:p>
    <w:p>
      <w:pPr>
        <w:spacing w:after="0"/>
        <w:jc w:val="left"/>
        <w:rPr>
          <w:sz w:val="18"/>
        </w:rPr>
        <w:sectPr>
          <w:type w:val="continuous"/>
          <w:pgSz w:w="12240" w:h="15840"/>
          <w:pgMar w:top="1300" w:bottom="280" w:left="900" w:right="880"/>
        </w:sectPr>
      </w:pPr>
    </w:p>
    <w:p>
      <w:pPr>
        <w:pStyle w:val="BodyText"/>
        <w:spacing w:line="271" w:lineRule="auto" w:before="150"/>
        <w:ind w:left="100" w:right="486"/>
      </w:pPr>
      <w:r>
        <w:rPr/>
        <w:t>CHANTELL SACKETT, ET VIR, Petitioners v. ENVIRONMENTAL PROTECTION AGENCY, et al.</w:t>
      </w:r>
    </w:p>
    <w:p>
      <w:pPr>
        <w:pStyle w:val="BodyText"/>
        <w:spacing w:before="10"/>
      </w:pPr>
    </w:p>
    <w:p>
      <w:pPr>
        <w:spacing w:line="271" w:lineRule="auto" w:before="1"/>
        <w:ind w:left="100" w:right="29" w:firstLine="0"/>
        <w:jc w:val="left"/>
        <w:rPr>
          <w:i/>
          <w:sz w:val="20"/>
        </w:rPr>
      </w:pPr>
      <w:bookmarkStart w:name="Subsequent History" w:id="3"/>
      <w:bookmarkEnd w:id="3"/>
      <w:r>
        <w:rPr/>
      </w:r>
      <w:r>
        <w:rPr>
          <w:b/>
          <w:sz w:val="20"/>
        </w:rPr>
        <w:t>Subsequent History: </w:t>
      </w:r>
      <w:r>
        <w:rPr>
          <w:sz w:val="20"/>
        </w:rPr>
        <w:t>On remand at, Remanded by </w:t>
      </w:r>
      <w:hyperlink r:id="rId6">
        <w:r>
          <w:rPr>
            <w:i/>
            <w:color w:val="0077CC"/>
            <w:sz w:val="20"/>
            <w:u w:val="single" w:color="0077CC"/>
          </w:rPr>
          <w:t>Sackett v. United States EPA, 677 F.3d 1000, 2012 U.S.</w:t>
        </w:r>
      </w:hyperlink>
      <w:r>
        <w:rPr>
          <w:i/>
          <w:color w:val="0077CC"/>
          <w:sz w:val="20"/>
        </w:rPr>
        <w:t> </w:t>
      </w:r>
      <w:hyperlink r:id="rId6">
        <w:r>
          <w:rPr>
            <w:i/>
            <w:color w:val="0077CC"/>
            <w:sz w:val="20"/>
            <w:u w:val="single" w:color="0077CC"/>
          </w:rPr>
          <w:t>App. LEXIS 9058 (9th Cir. Idaho, May 3, 2012)</w:t>
        </w:r>
      </w:hyperlink>
    </w:p>
    <w:p>
      <w:pPr>
        <w:pStyle w:val="BodyText"/>
        <w:spacing w:before="10"/>
        <w:rPr>
          <w:i/>
        </w:rPr>
      </w:pPr>
    </w:p>
    <w:p>
      <w:pPr>
        <w:spacing w:line="271" w:lineRule="auto" w:before="0"/>
        <w:ind w:left="100" w:right="38" w:firstLine="0"/>
        <w:jc w:val="both"/>
        <w:rPr>
          <w:sz w:val="20"/>
        </w:rPr>
      </w:pPr>
      <w:bookmarkStart w:name="Prior History" w:id="4"/>
      <w:bookmarkEnd w:id="4"/>
      <w:r>
        <w:rPr/>
      </w:r>
      <w:r>
        <w:rPr>
          <w:b/>
          <w:sz w:val="20"/>
        </w:rPr>
        <w:t>Prior History: [****1]</w:t>
      </w:r>
      <w:bookmarkStart w:name="Bookmark_para_1" w:id="5"/>
      <w:bookmarkEnd w:id="5"/>
      <w:r>
        <w:rPr>
          <w:b/>
          <w:sz w:val="20"/>
        </w:rPr>
      </w:r>
      <w:r>
        <w:rPr>
          <w:b/>
          <w:sz w:val="20"/>
        </w:rPr>
        <w:t> </w:t>
      </w:r>
      <w:r>
        <w:rPr>
          <w:sz w:val="20"/>
        </w:rPr>
        <w:t>ON WRIT OF CERTIORARI </w:t>
      </w:r>
      <w:r>
        <w:rPr>
          <w:spacing w:val="-6"/>
          <w:sz w:val="20"/>
        </w:rPr>
        <w:t>TO </w:t>
      </w:r>
      <w:r>
        <w:rPr>
          <w:sz w:val="20"/>
        </w:rPr>
        <w:t>THE UNITED STATES COURT OF APPEALS </w:t>
      </w:r>
      <w:r>
        <w:rPr>
          <w:spacing w:val="-4"/>
          <w:sz w:val="20"/>
        </w:rPr>
        <w:t>FOR </w:t>
      </w:r>
      <w:r>
        <w:rPr>
          <w:sz w:val="20"/>
        </w:rPr>
        <w:t>THE NINTH CIRCUIT</w:t>
      </w:r>
    </w:p>
    <w:p>
      <w:pPr>
        <w:pStyle w:val="BodyText"/>
        <w:rPr>
          <w:sz w:val="22"/>
        </w:rPr>
      </w:pPr>
    </w:p>
    <w:p>
      <w:pPr>
        <w:pStyle w:val="BodyText"/>
        <w:spacing w:before="10"/>
        <w:rPr>
          <w:sz w:val="22"/>
        </w:rPr>
      </w:pPr>
    </w:p>
    <w:p>
      <w:pPr>
        <w:spacing w:line="271" w:lineRule="auto" w:before="0"/>
        <w:ind w:left="100" w:right="29" w:firstLine="0"/>
        <w:jc w:val="left"/>
        <w:rPr>
          <w:i/>
          <w:sz w:val="20"/>
        </w:rPr>
      </w:pPr>
      <w:hyperlink r:id="rId7">
        <w:r>
          <w:rPr>
            <w:i/>
            <w:color w:val="0077CC"/>
            <w:sz w:val="20"/>
            <w:u w:val="single" w:color="0077CC"/>
          </w:rPr>
          <w:t>Sackett v. United States EPA, 622 F.3d 1139, 2010 U.S.</w:t>
        </w:r>
      </w:hyperlink>
      <w:r>
        <w:rPr>
          <w:i/>
          <w:color w:val="0077CC"/>
          <w:sz w:val="20"/>
        </w:rPr>
        <w:t> </w:t>
      </w:r>
      <w:hyperlink r:id="rId7">
        <w:r>
          <w:rPr>
            <w:i/>
            <w:color w:val="0077CC"/>
            <w:sz w:val="20"/>
            <w:u w:val="single" w:color="0077CC"/>
          </w:rPr>
          <w:t>App. LEXIS 19519 (9th Cir. Idaho, 2010)</w:t>
        </w:r>
      </w:hyperlink>
    </w:p>
    <w:p>
      <w:pPr>
        <w:pStyle w:val="BodyText"/>
        <w:spacing w:before="11"/>
        <w:rPr>
          <w:i/>
        </w:rPr>
      </w:pPr>
    </w:p>
    <w:p>
      <w:pPr>
        <w:spacing w:before="0"/>
        <w:ind w:left="100" w:right="0" w:firstLine="0"/>
        <w:jc w:val="left"/>
        <w:rPr>
          <w:sz w:val="20"/>
        </w:rPr>
      </w:pPr>
      <w:bookmarkStart w:name="Disposition" w:id="6"/>
      <w:bookmarkEnd w:id="6"/>
      <w:r>
        <w:rPr/>
      </w:r>
      <w:r>
        <w:rPr>
          <w:b/>
          <w:sz w:val="20"/>
        </w:rPr>
        <w:t>Disposition:</w:t>
      </w:r>
      <w:bookmarkStart w:name="Bookmark_clspara_5" w:id="7"/>
      <w:bookmarkEnd w:id="7"/>
      <w:r>
        <w:rPr>
          <w:b/>
          <w:sz w:val="20"/>
        </w:rPr>
      </w:r>
      <w:r>
        <w:rPr>
          <w:b/>
          <w:sz w:val="20"/>
        </w:rPr>
        <w:t> </w:t>
      </w:r>
      <w:hyperlink r:id="rId7">
        <w:r>
          <w:rPr>
            <w:i/>
            <w:color w:val="0077CC"/>
            <w:sz w:val="20"/>
            <w:u w:val="single" w:color="0077CC"/>
          </w:rPr>
          <w:t>622 F. 3d 1139</w:t>
        </w:r>
      </w:hyperlink>
      <w:r>
        <w:rPr>
          <w:sz w:val="20"/>
        </w:rPr>
        <w:t>, reversed and remanded.</w:t>
      </w:r>
    </w:p>
    <w:p>
      <w:pPr>
        <w:pStyle w:val="BodyText"/>
        <w:spacing w:before="5"/>
        <w:rPr>
          <w:sz w:val="22"/>
        </w:rPr>
      </w:pPr>
    </w:p>
    <w:p>
      <w:pPr>
        <w:pStyle w:val="Heading1"/>
      </w:pPr>
      <w:bookmarkStart w:name="Syllabus" w:id="8"/>
      <w:bookmarkEnd w:id="8"/>
      <w:r>
        <w:rPr>
          <w:b w:val="0"/>
        </w:rPr>
      </w:r>
      <w:r>
        <w:rPr/>
        <w:t>Syllabus</w:t>
      </w:r>
    </w:p>
    <w:p>
      <w:pPr>
        <w:pStyle w:val="BodyText"/>
        <w:spacing w:line="40" w:lineRule="exact"/>
        <w:ind w:left="80" w:right="-44"/>
        <w:rPr>
          <w:sz w:val="4"/>
        </w:rPr>
      </w:pPr>
      <w:r>
        <w:rPr>
          <w:position w:val="0"/>
          <w:sz w:val="4"/>
        </w:rPr>
        <w:pict>
          <v:group style="width:251pt;height:2pt;mso-position-horizontal-relative:char;mso-position-vertical-relative:line" coordorigin="0,0" coordsize="5020,40">
            <v:line style="position:absolute" from="0,20" to="5020,20" stroked="true" strokeweight="2pt" strokecolor="#009ddb">
              <v:stroke dashstyle="solid"/>
            </v:line>
          </v:group>
        </w:pict>
      </w:r>
      <w:r>
        <w:rPr>
          <w:position w:val="0"/>
          <w:sz w:val="4"/>
        </w:rPr>
      </w:r>
    </w:p>
    <w:p>
      <w:pPr>
        <w:pStyle w:val="BodyText"/>
        <w:rPr>
          <w:b/>
          <w:sz w:val="30"/>
        </w:rPr>
      </w:pPr>
    </w:p>
    <w:p>
      <w:pPr>
        <w:pStyle w:val="BodyText"/>
        <w:spacing w:before="4"/>
        <w:rPr>
          <w:b/>
          <w:sz w:val="24"/>
        </w:rPr>
      </w:pPr>
    </w:p>
    <w:p>
      <w:pPr>
        <w:pStyle w:val="BodyText"/>
        <w:spacing w:line="271" w:lineRule="auto"/>
        <w:ind w:left="100" w:right="38" w:firstLine="55"/>
        <w:jc w:val="both"/>
      </w:pPr>
      <w:bookmarkStart w:name="Bookmark_clspara_10" w:id="9"/>
      <w:bookmarkEnd w:id="9"/>
      <w:r>
        <w:rPr/>
      </w:r>
      <w:r>
        <w:rPr>
          <w:b/>
        </w:rPr>
        <w:t>[*120] [***370] [**1368] </w:t>
      </w:r>
      <w:r>
        <w:rPr/>
        <w:t>The Clean  Water  </w:t>
      </w:r>
      <w:r>
        <w:rPr>
          <w:spacing w:val="-5"/>
        </w:rPr>
        <w:t>Act  </w:t>
      </w:r>
      <w:r>
        <w:rPr/>
        <w:t>prohibits “the discharge of any pollutant by any person,” </w:t>
      </w:r>
      <w:hyperlink r:id="rId8">
        <w:r>
          <w:rPr>
            <w:i/>
            <w:color w:val="0077CC"/>
            <w:u w:val="single" w:color="0077CC"/>
          </w:rPr>
          <w:t>33 U. S. C. § 1311</w:t>
        </w:r>
      </w:hyperlink>
      <w:r>
        <w:rPr/>
        <w:t>, without a permit, into “navigable waters,” </w:t>
      </w:r>
      <w:hyperlink r:id="rId9">
        <w:r>
          <w:rPr>
            <w:i/>
            <w:color w:val="0077CC"/>
            <w:u w:val="single" w:color="0077CC"/>
          </w:rPr>
          <w:t>§ 1344</w:t>
        </w:r>
      </w:hyperlink>
      <w:r>
        <w:rPr/>
        <w:t>. Upon determining that a violation </w:t>
      </w:r>
      <w:r>
        <w:rPr>
          <w:spacing w:val="-6"/>
        </w:rPr>
        <w:t>has </w:t>
      </w:r>
      <w:r>
        <w:rPr/>
        <w:t>occurred, the Environmental Protection Agency </w:t>
      </w:r>
      <w:r>
        <w:rPr>
          <w:spacing w:val="-3"/>
        </w:rPr>
        <w:t>(EPA) </w:t>
      </w:r>
      <w:r>
        <w:rPr/>
        <w:t>may either issue a compliance order or initiate a </w:t>
      </w:r>
      <w:r>
        <w:rPr>
          <w:spacing w:val="-3"/>
        </w:rPr>
        <w:t>civil </w:t>
      </w:r>
      <w:r>
        <w:rPr/>
        <w:t>enforcement action. </w:t>
      </w:r>
      <w:hyperlink r:id="rId10">
        <w:r>
          <w:rPr>
            <w:i/>
            <w:color w:val="0077CC"/>
            <w:u w:val="single" w:color="0077CC"/>
          </w:rPr>
          <w:t>§ 1319(a)(3)</w:t>
        </w:r>
      </w:hyperlink>
      <w:r>
        <w:rPr/>
        <w:t>. The resulting </w:t>
      </w:r>
      <w:r>
        <w:rPr>
          <w:spacing w:val="-4"/>
        </w:rPr>
        <w:t>civil </w:t>
      </w:r>
      <w:r>
        <w:rPr/>
        <w:t>penalty may not “exceed [$37,500] per day for </w:t>
      </w:r>
      <w:r>
        <w:rPr>
          <w:spacing w:val="-4"/>
        </w:rPr>
        <w:t>each </w:t>
      </w:r>
      <w:r>
        <w:rPr/>
        <w:t>violation.” </w:t>
      </w:r>
      <w:hyperlink r:id="rId10">
        <w:r>
          <w:rPr>
            <w:i/>
            <w:color w:val="0077CC"/>
            <w:u w:val="single" w:color="0077CC"/>
          </w:rPr>
          <w:t>§ 1319(d)</w:t>
        </w:r>
      </w:hyperlink>
      <w:r>
        <w:rPr/>
        <w:t>. The Government contends that </w:t>
      </w:r>
      <w:r>
        <w:rPr>
          <w:spacing w:val="-6"/>
        </w:rPr>
        <w:t>the </w:t>
      </w:r>
      <w:r>
        <w:rPr/>
        <w:t>amount doubles to $75,000 when the EPA prevails against a person who has been issued a compliance order but has failed to</w:t>
      </w:r>
      <w:r>
        <w:rPr>
          <w:spacing w:val="-2"/>
        </w:rPr>
        <w:t> </w:t>
      </w:r>
      <w:r>
        <w:rPr/>
        <w:t>comply.</w:t>
      </w:r>
    </w:p>
    <w:p>
      <w:pPr>
        <w:pStyle w:val="BodyText"/>
        <w:spacing w:before="6"/>
        <w:rPr>
          <w:sz w:val="17"/>
        </w:rPr>
      </w:pPr>
    </w:p>
    <w:p>
      <w:pPr>
        <w:pStyle w:val="BodyText"/>
        <w:spacing w:line="271" w:lineRule="auto"/>
        <w:ind w:left="100" w:right="38"/>
        <w:jc w:val="both"/>
        <w:rPr>
          <w:i/>
        </w:rPr>
      </w:pPr>
      <w:bookmarkStart w:name="Bookmark_clspara_11" w:id="10"/>
      <w:bookmarkEnd w:id="10"/>
      <w:r>
        <w:rPr/>
      </w:r>
      <w:r>
        <w:rPr/>
        <w:t>The Sacketts, petitioners here, received a compliance order from the EPA, which stated that their residential  lot contained navigable waters and that </w:t>
      </w:r>
      <w:r>
        <w:rPr>
          <w:spacing w:val="-3"/>
        </w:rPr>
        <w:t>their </w:t>
      </w:r>
      <w:r>
        <w:rPr/>
        <w:t>construction project violated the Act. The Sacketts sought declarative and injunctive relief in the Federal District Court, contending that the compliance order </w:t>
      </w:r>
      <w:r>
        <w:rPr>
          <w:spacing w:val="-5"/>
        </w:rPr>
        <w:t>was </w:t>
      </w:r>
      <w:r>
        <w:rPr/>
        <w:t>“arbitrary [and] capricious” under the Administrative Procedure Act (APA), </w:t>
      </w:r>
      <w:r>
        <w:rPr>
          <w:i/>
        </w:rPr>
        <w:t>5 U. S. C. § 706(2)(A)</w:t>
      </w:r>
      <w:r>
        <w:rPr/>
        <w:t>, and that </w:t>
      </w:r>
      <w:r>
        <w:rPr>
          <w:spacing w:val="-6"/>
        </w:rPr>
        <w:t>it </w:t>
      </w:r>
      <w:r>
        <w:rPr/>
        <w:t>deprived</w:t>
      </w:r>
      <w:r>
        <w:rPr>
          <w:spacing w:val="39"/>
        </w:rPr>
        <w:t> </w:t>
      </w:r>
      <w:r>
        <w:rPr/>
        <w:t>them</w:t>
      </w:r>
      <w:r>
        <w:rPr>
          <w:spacing w:val="39"/>
        </w:rPr>
        <w:t> </w:t>
      </w:r>
      <w:r>
        <w:rPr/>
        <w:t>of</w:t>
      </w:r>
      <w:r>
        <w:rPr>
          <w:spacing w:val="40"/>
        </w:rPr>
        <w:t> </w:t>
      </w:r>
      <w:r>
        <w:rPr/>
        <w:t>due</w:t>
      </w:r>
      <w:r>
        <w:rPr>
          <w:spacing w:val="39"/>
        </w:rPr>
        <w:t> </w:t>
      </w:r>
      <w:r>
        <w:rPr/>
        <w:t>process</w:t>
      </w:r>
      <w:r>
        <w:rPr>
          <w:spacing w:val="41"/>
        </w:rPr>
        <w:t> </w:t>
      </w:r>
      <w:r>
        <w:rPr/>
        <w:t>in</w:t>
      </w:r>
      <w:r>
        <w:rPr>
          <w:spacing w:val="39"/>
        </w:rPr>
        <w:t> </w:t>
      </w:r>
      <w:r>
        <w:rPr/>
        <w:t>violation</w:t>
      </w:r>
      <w:r>
        <w:rPr>
          <w:spacing w:val="40"/>
        </w:rPr>
        <w:t> </w:t>
      </w:r>
      <w:r>
        <w:rPr/>
        <w:t>of</w:t>
      </w:r>
      <w:r>
        <w:rPr>
          <w:spacing w:val="39"/>
        </w:rPr>
        <w:t> </w:t>
      </w:r>
      <w:r>
        <w:rPr/>
        <w:t>the</w:t>
      </w:r>
      <w:r>
        <w:rPr>
          <w:spacing w:val="40"/>
        </w:rPr>
        <w:t> </w:t>
      </w:r>
      <w:r>
        <w:rPr>
          <w:i/>
        </w:rPr>
        <w:t>Fifth</w:t>
      </w:r>
    </w:p>
    <w:p>
      <w:pPr>
        <w:pStyle w:val="BodyText"/>
        <w:spacing w:line="271" w:lineRule="auto" w:before="30"/>
        <w:ind w:left="100" w:right="117"/>
        <w:jc w:val="both"/>
      </w:pPr>
      <w:r>
        <w:rPr/>
        <w:br w:type="column"/>
      </w:r>
      <w:r>
        <w:rPr>
          <w:i/>
        </w:rPr>
        <w:t>Amendment</w:t>
      </w:r>
      <w:r>
        <w:rPr/>
        <w:t>. </w:t>
      </w:r>
      <w:r>
        <w:rPr>
          <w:b/>
        </w:rPr>
        <w:t>[****2] </w:t>
      </w:r>
      <w:r>
        <w:rPr/>
        <w:t>The District Court dismissed </w:t>
      </w:r>
      <w:r>
        <w:rPr>
          <w:spacing w:val="-6"/>
        </w:rPr>
        <w:t>the </w:t>
      </w:r>
      <w:r>
        <w:rPr/>
        <w:t>claims for want of subject-matter jurisdiction. The </w:t>
      </w:r>
      <w:r>
        <w:rPr>
          <w:spacing w:val="-3"/>
        </w:rPr>
        <w:t>Ninth </w:t>
      </w:r>
      <w:r>
        <w:rPr/>
        <w:t>Circuit affirmed, concluding </w:t>
      </w:r>
      <w:r>
        <w:rPr>
          <w:b/>
        </w:rPr>
        <w:t>[***371] </w:t>
      </w:r>
      <w:r>
        <w:rPr/>
        <w:t>that the </w:t>
      </w:r>
      <w:r>
        <w:rPr>
          <w:spacing w:val="-3"/>
        </w:rPr>
        <w:t>Clean </w:t>
      </w:r>
      <w:r>
        <w:rPr/>
        <w:t>Water Act precluded preenforcement judicial review </w:t>
      </w:r>
      <w:r>
        <w:rPr>
          <w:spacing w:val="-8"/>
        </w:rPr>
        <w:t>of </w:t>
      </w:r>
      <w:r>
        <w:rPr/>
        <w:t>compliance orders and that such preclusion did </w:t>
      </w:r>
      <w:r>
        <w:rPr>
          <w:spacing w:val="-4"/>
        </w:rPr>
        <w:t>not </w:t>
      </w:r>
      <w:r>
        <w:rPr/>
        <w:t>violate due</w:t>
      </w:r>
      <w:r>
        <w:rPr>
          <w:spacing w:val="-1"/>
        </w:rPr>
        <w:t> </w:t>
      </w:r>
      <w:r>
        <w:rPr/>
        <w:t>process.</w:t>
      </w:r>
    </w:p>
    <w:p>
      <w:pPr>
        <w:pStyle w:val="BodyText"/>
        <w:spacing w:before="11"/>
      </w:pPr>
    </w:p>
    <w:p>
      <w:pPr>
        <w:spacing w:line="271" w:lineRule="auto" w:before="0"/>
        <w:ind w:left="100" w:right="117" w:firstLine="0"/>
        <w:jc w:val="both"/>
        <w:rPr>
          <w:sz w:val="20"/>
        </w:rPr>
      </w:pPr>
      <w:bookmarkStart w:name="Bookmark_clspara_12" w:id="11"/>
      <w:bookmarkEnd w:id="11"/>
      <w:r>
        <w:rPr/>
      </w:r>
      <w:r>
        <w:rPr>
          <w:i/>
          <w:sz w:val="20"/>
        </w:rPr>
        <w:t>Held: </w:t>
      </w:r>
      <w:r>
        <w:rPr>
          <w:sz w:val="20"/>
        </w:rPr>
        <w:t>The Sacketts may bring a civil action under the APA to challenge the issuance of the EPA's order. </w:t>
      </w:r>
      <w:hyperlink r:id="rId5">
        <w:r>
          <w:rPr>
            <w:i/>
            <w:color w:val="0077CC"/>
            <w:sz w:val="20"/>
            <w:u w:val="single" w:color="0077CC"/>
          </w:rPr>
          <w:t>Pp.</w:t>
        </w:r>
      </w:hyperlink>
      <w:r>
        <w:rPr>
          <w:i/>
          <w:color w:val="0077CC"/>
          <w:sz w:val="20"/>
        </w:rPr>
        <w:t> </w:t>
      </w:r>
      <w:hyperlink r:id="rId5">
        <w:r>
          <w:rPr>
            <w:i/>
            <w:color w:val="0077CC"/>
            <w:sz w:val="20"/>
            <w:u w:val="single" w:color="0077CC"/>
          </w:rPr>
          <w:t>125-131, 182 L. Ed. 2d, at 373-377</w:t>
        </w:r>
      </w:hyperlink>
      <w:r>
        <w:rPr>
          <w:sz w:val="20"/>
        </w:rPr>
        <w:t>.</w:t>
      </w:r>
    </w:p>
    <w:p>
      <w:pPr>
        <w:pStyle w:val="BodyText"/>
        <w:spacing w:before="10"/>
      </w:pPr>
    </w:p>
    <w:p>
      <w:pPr>
        <w:pStyle w:val="ListParagraph"/>
        <w:numPr>
          <w:ilvl w:val="0"/>
          <w:numId w:val="1"/>
        </w:numPr>
        <w:tabs>
          <w:tab w:pos="410" w:val="left" w:leader="none"/>
        </w:tabs>
        <w:spacing w:line="271" w:lineRule="auto" w:before="1" w:after="0"/>
        <w:ind w:left="100" w:right="117" w:firstLine="0"/>
        <w:jc w:val="both"/>
        <w:rPr>
          <w:i/>
          <w:sz w:val="20"/>
        </w:rPr>
      </w:pPr>
      <w:bookmarkStart w:name="Bookmark_clspara_13" w:id="12"/>
      <w:bookmarkEnd w:id="12"/>
      <w:r>
        <w:rPr/>
      </w:r>
      <w:bookmarkStart w:name="Bookmark_clspara_13" w:id="13"/>
      <w:bookmarkEnd w:id="13"/>
      <w:r>
        <w:rPr>
          <w:sz w:val="20"/>
        </w:rPr>
        <w:t>The</w:t>
      </w:r>
      <w:r>
        <w:rPr>
          <w:sz w:val="20"/>
        </w:rPr>
        <w:t> APA provides for judicial review of “final agency action for which there is no other adequate remedy in </w:t>
      </w:r>
      <w:r>
        <w:rPr>
          <w:spacing w:val="-12"/>
          <w:sz w:val="20"/>
        </w:rPr>
        <w:t>a </w:t>
      </w:r>
      <w:r>
        <w:rPr>
          <w:sz w:val="20"/>
        </w:rPr>
        <w:t>court.” </w:t>
      </w:r>
      <w:r>
        <w:rPr>
          <w:i/>
          <w:sz w:val="20"/>
        </w:rPr>
        <w:t>5 U. S. C. § 704</w:t>
      </w:r>
      <w:r>
        <w:rPr>
          <w:sz w:val="20"/>
        </w:rPr>
        <w:t>. The compliance order here has all the hallmarks of APA finality. Through it, the EPA “determined” “rights or obligations,”</w:t>
      </w:r>
      <w:r>
        <w:rPr>
          <w:color w:val="0077CC"/>
          <w:sz w:val="20"/>
        </w:rPr>
        <w:t> </w:t>
      </w:r>
      <w:hyperlink r:id="rId11">
        <w:r>
          <w:rPr>
            <w:i/>
            <w:color w:val="0077CC"/>
            <w:sz w:val="20"/>
            <w:u w:val="single" w:color="0077CC"/>
          </w:rPr>
          <w:t>Bennett v. </w:t>
        </w:r>
        <w:r>
          <w:rPr>
            <w:i/>
            <w:color w:val="0077CC"/>
            <w:spacing w:val="-3"/>
            <w:sz w:val="20"/>
            <w:u w:val="single" w:color="0077CC"/>
          </w:rPr>
          <w:t>Spear,</w:t>
        </w:r>
      </w:hyperlink>
      <w:hyperlink r:id="rId11">
        <w:r>
          <w:rPr>
            <w:i/>
            <w:color w:val="0077CC"/>
            <w:spacing w:val="-3"/>
            <w:sz w:val="20"/>
            <w:u w:val="single" w:color="0077CC"/>
          </w:rPr>
          <w:t> </w:t>
        </w:r>
        <w:r>
          <w:rPr>
            <w:i/>
            <w:color w:val="0077CC"/>
            <w:sz w:val="20"/>
            <w:u w:val="single" w:color="0077CC"/>
          </w:rPr>
          <w:t>520 U. S. 154, 178, 117 S. Ct. 1154, 137 L. Ed. 2d 281</w:t>
        </w:r>
      </w:hyperlink>
      <w:r>
        <w:rPr>
          <w:sz w:val="20"/>
        </w:rPr>
        <w:t>, requiring the Sacketts to restore their property according to an Agency-approved plan and to give the </w:t>
      </w:r>
      <w:r>
        <w:rPr>
          <w:spacing w:val="-6"/>
          <w:sz w:val="20"/>
        </w:rPr>
        <w:t>EPA </w:t>
      </w:r>
      <w:r>
        <w:rPr>
          <w:sz w:val="20"/>
        </w:rPr>
        <w:t>access. Also, “legal consequences . . . flow” from </w:t>
      </w:r>
      <w:r>
        <w:rPr>
          <w:spacing w:val="-5"/>
          <w:sz w:val="20"/>
        </w:rPr>
        <w:t>the </w:t>
      </w:r>
      <w:r>
        <w:rPr>
          <w:sz w:val="20"/>
        </w:rPr>
        <w:t>order, </w:t>
      </w:r>
      <w:r>
        <w:rPr>
          <w:i/>
          <w:sz w:val="20"/>
        </w:rPr>
        <w:t>ibid.</w:t>
      </w:r>
      <w:r>
        <w:rPr>
          <w:sz w:val="20"/>
        </w:rPr>
        <w:t>, which, according to the </w:t>
      </w:r>
      <w:r>
        <w:rPr>
          <w:spacing w:val="-2"/>
          <w:sz w:val="20"/>
        </w:rPr>
        <w:t>Government's </w:t>
      </w:r>
      <w:r>
        <w:rPr>
          <w:sz w:val="20"/>
        </w:rPr>
        <w:t>litigating position, exposes the Sacketts to double penalties in future enforcement proceedings. The </w:t>
      </w:r>
      <w:r>
        <w:rPr>
          <w:spacing w:val="-3"/>
          <w:sz w:val="20"/>
        </w:rPr>
        <w:t>order </w:t>
      </w:r>
      <w:r>
        <w:rPr>
          <w:sz w:val="20"/>
        </w:rPr>
        <w:t>also severely limits their ability to obtain a permit </w:t>
      </w:r>
      <w:r>
        <w:rPr>
          <w:spacing w:val="-5"/>
          <w:sz w:val="20"/>
        </w:rPr>
        <w:t>for </w:t>
      </w:r>
      <w:r>
        <w:rPr>
          <w:sz w:val="20"/>
        </w:rPr>
        <w:t>their fill from the Army Corps of Engineers, see</w:t>
      </w:r>
      <w:hyperlink r:id="rId9">
        <w:r>
          <w:rPr>
            <w:color w:val="0077CC"/>
            <w:sz w:val="20"/>
          </w:rPr>
          <w:t> </w:t>
        </w:r>
        <w:r>
          <w:rPr>
            <w:i/>
            <w:color w:val="0077CC"/>
            <w:sz w:val="20"/>
            <w:u w:val="single" w:color="0077CC"/>
          </w:rPr>
          <w:t>33 U. S.</w:t>
        </w:r>
      </w:hyperlink>
      <w:hyperlink r:id="rId9">
        <w:r>
          <w:rPr>
            <w:i/>
            <w:color w:val="0077CC"/>
            <w:sz w:val="20"/>
            <w:u w:val="single" w:color="0077CC"/>
          </w:rPr>
          <w:t> </w:t>
        </w:r>
        <w:r>
          <w:rPr>
            <w:i/>
            <w:color w:val="0077CC"/>
            <w:sz w:val="20"/>
            <w:u w:val="single" w:color="0077CC"/>
          </w:rPr>
          <w:t>C. § 1344</w:t>
        </w:r>
      </w:hyperlink>
      <w:r>
        <w:rPr>
          <w:sz w:val="20"/>
        </w:rPr>
        <w:t>; </w:t>
      </w:r>
      <w:r>
        <w:rPr>
          <w:b/>
          <w:sz w:val="20"/>
        </w:rPr>
        <w:t>[**1369]</w:t>
      </w:r>
      <w:hyperlink r:id="rId12">
        <w:r>
          <w:rPr>
            <w:b/>
            <w:color w:val="0077CC"/>
            <w:sz w:val="20"/>
          </w:rPr>
          <w:t> </w:t>
        </w:r>
        <w:r>
          <w:rPr>
            <w:i/>
            <w:color w:val="0077CC"/>
            <w:sz w:val="20"/>
            <w:u w:val="single" w:color="0077CC"/>
          </w:rPr>
          <w:t>33 C. F. R. § 326.3(e)(1)(iv)</w:t>
        </w:r>
      </w:hyperlink>
      <w:r>
        <w:rPr>
          <w:sz w:val="20"/>
        </w:rPr>
        <w:t>. Further, the order's issuance marks the “consummation” </w:t>
      </w:r>
      <w:r>
        <w:rPr>
          <w:b/>
          <w:sz w:val="20"/>
        </w:rPr>
        <w:t>[****3] </w:t>
      </w:r>
      <w:r>
        <w:rPr>
          <w:sz w:val="20"/>
        </w:rPr>
        <w:t>of the agency's </w:t>
      </w:r>
      <w:r>
        <w:rPr>
          <w:b/>
          <w:sz w:val="20"/>
        </w:rPr>
        <w:t>[*121] </w:t>
      </w:r>
      <w:r>
        <w:rPr>
          <w:sz w:val="20"/>
        </w:rPr>
        <w:t>decisionmaking process,</w:t>
      </w:r>
      <w:hyperlink r:id="rId11">
        <w:r>
          <w:rPr>
            <w:color w:val="0077CC"/>
            <w:sz w:val="20"/>
            <w:u w:val="single" w:color="0077CC"/>
          </w:rPr>
          <w:t> </w:t>
        </w:r>
        <w:r>
          <w:rPr>
            <w:i/>
            <w:color w:val="0077CC"/>
            <w:sz w:val="20"/>
            <w:u w:val="single" w:color="0077CC"/>
          </w:rPr>
          <w:t>Bennett, supra, at 178, 117 S. Ct. 1154, 137 L. Ed. 2d</w:t>
        </w:r>
      </w:hyperlink>
      <w:hyperlink r:id="rId11">
        <w:r>
          <w:rPr>
            <w:i/>
            <w:color w:val="0077CC"/>
            <w:sz w:val="20"/>
            <w:u w:val="single" w:color="0077CC"/>
          </w:rPr>
          <w:t> </w:t>
        </w:r>
        <w:r>
          <w:rPr>
            <w:i/>
            <w:color w:val="0077CC"/>
            <w:sz w:val="20"/>
            <w:u w:val="single" w:color="0077CC"/>
          </w:rPr>
          <w:t>281</w:t>
        </w:r>
      </w:hyperlink>
      <w:r>
        <w:rPr>
          <w:sz w:val="20"/>
        </w:rPr>
        <w:t>, for the EPA's findings in the compliance order </w:t>
      </w:r>
      <w:r>
        <w:rPr>
          <w:spacing w:val="-3"/>
          <w:sz w:val="20"/>
        </w:rPr>
        <w:t>were </w:t>
      </w:r>
      <w:r>
        <w:rPr>
          <w:sz w:val="20"/>
        </w:rPr>
        <w:t>not subject to further agency review. The Sacketts also had “no other adequate remedy in a court,” </w:t>
      </w:r>
      <w:r>
        <w:rPr>
          <w:i/>
          <w:sz w:val="20"/>
        </w:rPr>
        <w:t>5 U. S. C. </w:t>
      </w:r>
      <w:r>
        <w:rPr>
          <w:i/>
          <w:spacing w:val="-16"/>
          <w:sz w:val="20"/>
        </w:rPr>
        <w:t>§ </w:t>
      </w:r>
      <w:r>
        <w:rPr>
          <w:i/>
          <w:sz w:val="20"/>
        </w:rPr>
        <w:t>704</w:t>
      </w:r>
      <w:r>
        <w:rPr>
          <w:sz w:val="20"/>
        </w:rPr>
        <w:t>. A civil action brought by the EPA under</w:t>
      </w:r>
      <w:hyperlink r:id="rId10">
        <w:r>
          <w:rPr>
            <w:color w:val="0077CC"/>
            <w:sz w:val="20"/>
          </w:rPr>
          <w:t> </w:t>
        </w:r>
        <w:r>
          <w:rPr>
            <w:i/>
            <w:color w:val="0077CC"/>
            <w:sz w:val="20"/>
            <w:u w:val="single" w:color="0077CC"/>
          </w:rPr>
          <w:t>33 U. S.</w:t>
        </w:r>
        <w:r>
          <w:rPr>
            <w:i/>
            <w:color w:val="0077CC"/>
            <w:spacing w:val="49"/>
            <w:sz w:val="20"/>
            <w:u w:val="single" w:color="0077CC"/>
          </w:rPr>
          <w:t> </w:t>
        </w:r>
        <w:r>
          <w:rPr>
            <w:i/>
            <w:color w:val="0077CC"/>
            <w:spacing w:val="-7"/>
            <w:sz w:val="20"/>
            <w:u w:val="single" w:color="0077CC"/>
          </w:rPr>
          <w:t>C.</w:t>
        </w:r>
      </w:hyperlink>
    </w:p>
    <w:p>
      <w:pPr>
        <w:pStyle w:val="BodyText"/>
        <w:spacing w:line="271" w:lineRule="auto" w:before="2"/>
        <w:ind w:left="100" w:right="117"/>
        <w:jc w:val="both"/>
      </w:pPr>
      <w:hyperlink r:id="rId10">
        <w:r>
          <w:rPr>
            <w:i/>
            <w:color w:val="0077CC"/>
            <w:u w:val="single" w:color="0077CC"/>
          </w:rPr>
          <w:t>§ 1319</w:t>
        </w:r>
        <w:r>
          <w:rPr>
            <w:i/>
            <w:color w:val="0077CC"/>
          </w:rPr>
          <w:t> </w:t>
        </w:r>
      </w:hyperlink>
      <w:r>
        <w:rPr/>
        <w:t>ordinarily provides judicial review in such cases, but the Sacketts cannot initiate that process. And each day they wait, they accrue additional potential liability. Applying to the Corps of Engineers for a permit and then filing suit under the APA if that permit is denied </w:t>
      </w:r>
      <w:r>
        <w:rPr>
          <w:spacing w:val="-3"/>
        </w:rPr>
        <w:t>also </w:t>
      </w:r>
      <w:r>
        <w:rPr/>
        <w:t>does not provide an adequate remedy for the</w:t>
      </w:r>
      <w:r>
        <w:rPr>
          <w:spacing w:val="28"/>
        </w:rPr>
        <w:t> </w:t>
      </w:r>
      <w:r>
        <w:rPr>
          <w:spacing w:val="-4"/>
        </w:rPr>
        <w:t>EPA's </w:t>
      </w:r>
      <w:r>
        <w:rPr/>
        <w:t>action. </w:t>
      </w:r>
      <w:hyperlink r:id="rId5">
        <w:r>
          <w:rPr>
            <w:i/>
            <w:color w:val="0077CC"/>
            <w:u w:val="single" w:color="0077CC"/>
          </w:rPr>
          <w:t>Pp. 125-128, 182 L. Ed. 2d, at</w:t>
        </w:r>
        <w:r>
          <w:rPr>
            <w:i/>
            <w:color w:val="0077CC"/>
            <w:spacing w:val="-4"/>
            <w:u w:val="single" w:color="0077CC"/>
          </w:rPr>
          <w:t> </w:t>
        </w:r>
        <w:r>
          <w:rPr>
            <w:i/>
            <w:color w:val="0077CC"/>
            <w:u w:val="single" w:color="0077CC"/>
          </w:rPr>
          <w:t>373-375</w:t>
        </w:r>
      </w:hyperlink>
      <w:r>
        <w:rPr/>
        <w:t>.</w:t>
      </w:r>
    </w:p>
    <w:p>
      <w:pPr>
        <w:pStyle w:val="BodyText"/>
        <w:spacing w:before="11"/>
      </w:pPr>
    </w:p>
    <w:p>
      <w:pPr>
        <w:pStyle w:val="ListParagraph"/>
        <w:numPr>
          <w:ilvl w:val="0"/>
          <w:numId w:val="1"/>
        </w:numPr>
        <w:tabs>
          <w:tab w:pos="522" w:val="left" w:leader="none"/>
        </w:tabs>
        <w:spacing w:line="271" w:lineRule="auto" w:before="0" w:after="0"/>
        <w:ind w:left="100" w:right="117" w:firstLine="0"/>
        <w:jc w:val="both"/>
        <w:rPr>
          <w:i/>
          <w:sz w:val="20"/>
        </w:rPr>
      </w:pPr>
      <w:bookmarkStart w:name="Bookmark_clspara_14" w:id="14"/>
      <w:bookmarkEnd w:id="14"/>
      <w:r>
        <w:rPr/>
      </w:r>
      <w:bookmarkStart w:name="Bookmark_clspara_14" w:id="15"/>
      <w:bookmarkEnd w:id="15"/>
      <w:r>
        <w:rPr>
          <w:sz w:val="20"/>
        </w:rPr>
        <w:t>The</w:t>
      </w:r>
      <w:r>
        <w:rPr>
          <w:sz w:val="20"/>
        </w:rPr>
        <w:t> Clean Water Act is not a statute that “preclude[s]</w:t>
      </w:r>
      <w:r>
        <w:rPr>
          <w:spacing w:val="8"/>
          <w:sz w:val="20"/>
        </w:rPr>
        <w:t> </w:t>
      </w:r>
      <w:r>
        <w:rPr>
          <w:sz w:val="20"/>
        </w:rPr>
        <w:t>judicial</w:t>
      </w:r>
      <w:r>
        <w:rPr>
          <w:spacing w:val="8"/>
          <w:sz w:val="20"/>
        </w:rPr>
        <w:t> </w:t>
      </w:r>
      <w:r>
        <w:rPr>
          <w:sz w:val="20"/>
        </w:rPr>
        <w:t>review”</w:t>
      </w:r>
      <w:r>
        <w:rPr>
          <w:spacing w:val="8"/>
          <w:sz w:val="20"/>
        </w:rPr>
        <w:t> </w:t>
      </w:r>
      <w:r>
        <w:rPr>
          <w:sz w:val="20"/>
        </w:rPr>
        <w:t>under</w:t>
      </w:r>
      <w:r>
        <w:rPr>
          <w:spacing w:val="8"/>
          <w:sz w:val="20"/>
        </w:rPr>
        <w:t> </w:t>
      </w:r>
      <w:r>
        <w:rPr>
          <w:sz w:val="20"/>
        </w:rPr>
        <w:t>the</w:t>
      </w:r>
      <w:r>
        <w:rPr>
          <w:spacing w:val="8"/>
          <w:sz w:val="20"/>
        </w:rPr>
        <w:t> </w:t>
      </w:r>
      <w:r>
        <w:rPr>
          <w:sz w:val="20"/>
        </w:rPr>
        <w:t>APA,</w:t>
      </w:r>
      <w:r>
        <w:rPr>
          <w:spacing w:val="8"/>
          <w:sz w:val="20"/>
        </w:rPr>
        <w:t> </w:t>
      </w:r>
      <w:r>
        <w:rPr>
          <w:i/>
          <w:sz w:val="20"/>
        </w:rPr>
        <w:t>5</w:t>
      </w:r>
      <w:r>
        <w:rPr>
          <w:i/>
          <w:spacing w:val="8"/>
          <w:sz w:val="20"/>
        </w:rPr>
        <w:t> </w:t>
      </w:r>
      <w:r>
        <w:rPr>
          <w:i/>
          <w:sz w:val="20"/>
        </w:rPr>
        <w:t>U.</w:t>
      </w:r>
      <w:r>
        <w:rPr>
          <w:i/>
          <w:spacing w:val="8"/>
          <w:sz w:val="20"/>
        </w:rPr>
        <w:t> </w:t>
      </w:r>
      <w:r>
        <w:rPr>
          <w:i/>
          <w:sz w:val="20"/>
        </w:rPr>
        <w:t>S.</w:t>
      </w:r>
      <w:r>
        <w:rPr>
          <w:i/>
          <w:spacing w:val="8"/>
          <w:sz w:val="20"/>
        </w:rPr>
        <w:t> </w:t>
      </w:r>
      <w:r>
        <w:rPr>
          <w:i/>
          <w:sz w:val="20"/>
        </w:rPr>
        <w:t>C.</w:t>
      </w:r>
      <w:r>
        <w:rPr>
          <w:i/>
          <w:spacing w:val="8"/>
          <w:sz w:val="20"/>
        </w:rPr>
        <w:t> </w:t>
      </w:r>
      <w:r>
        <w:rPr>
          <w:i/>
          <w:spacing w:val="-11"/>
          <w:sz w:val="20"/>
        </w:rPr>
        <w:t>§</w:t>
      </w:r>
    </w:p>
    <w:p>
      <w:pPr>
        <w:spacing w:after="0" w:line="271" w:lineRule="auto"/>
        <w:jc w:val="both"/>
        <w:rPr>
          <w:sz w:val="20"/>
        </w:rPr>
        <w:sectPr>
          <w:type w:val="continuous"/>
          <w:pgSz w:w="12240" w:h="15840"/>
          <w:pgMar w:top="1300" w:bottom="280" w:left="900" w:right="880"/>
          <w:cols w:num="2" w:equalWidth="0">
            <w:col w:w="5141" w:space="99"/>
            <w:col w:w="5220"/>
          </w:cols>
        </w:sectPr>
      </w:pPr>
    </w:p>
    <w:p>
      <w:pPr>
        <w:pStyle w:val="BodyText"/>
        <w:spacing w:before="40"/>
        <w:ind w:left="755"/>
      </w:pPr>
      <w:r>
        <w:rPr/>
        <w:t>566 U.S. 120, *121; 132 S. Ct. 1367, **1369; 182 L. Ed. 2d 367, ***371; 2012 U.S. LEXIS 2320, ****3</w:t>
      </w:r>
    </w:p>
    <w:p>
      <w:pPr>
        <w:pStyle w:val="BodyText"/>
        <w:spacing w:before="1"/>
        <w:rPr>
          <w:sz w:val="15"/>
        </w:rPr>
      </w:pPr>
    </w:p>
    <w:p>
      <w:pPr>
        <w:spacing w:after="0"/>
        <w:rPr>
          <w:sz w:val="15"/>
        </w:rPr>
        <w:sectPr>
          <w:headerReference w:type="default" r:id="rId13"/>
          <w:pgSz w:w="12240" w:h="15840"/>
          <w:pgMar w:header="407" w:footer="0" w:top="620" w:bottom="280" w:left="900" w:right="880"/>
        </w:sectPr>
      </w:pPr>
    </w:p>
    <w:p>
      <w:pPr>
        <w:spacing w:line="271" w:lineRule="auto" w:before="122"/>
        <w:ind w:left="100" w:right="38" w:firstLine="0"/>
        <w:jc w:val="both"/>
        <w:rPr>
          <w:sz w:val="20"/>
        </w:rPr>
      </w:pPr>
      <w:r>
        <w:rPr>
          <w:i/>
          <w:sz w:val="20"/>
        </w:rPr>
        <w:t>701(a)(1)</w:t>
      </w:r>
      <w:r>
        <w:rPr>
          <w:sz w:val="20"/>
        </w:rPr>
        <w:t>. The APA creates a “presumption favoring judicial review of administrative action.” </w:t>
      </w:r>
      <w:hyperlink r:id="rId14">
        <w:r>
          <w:rPr>
            <w:i/>
            <w:color w:val="0077CC"/>
            <w:sz w:val="20"/>
            <w:u w:val="single" w:color="0077CC"/>
          </w:rPr>
          <w:t>Block </w:t>
        </w:r>
        <w:r>
          <w:rPr>
            <w:i/>
            <w:color w:val="0077CC"/>
            <w:spacing w:val="-8"/>
            <w:sz w:val="20"/>
            <w:u w:val="single" w:color="0077CC"/>
          </w:rPr>
          <w:t>v.</w:t>
        </w:r>
      </w:hyperlink>
      <w:r>
        <w:rPr>
          <w:i/>
          <w:color w:val="0077CC"/>
          <w:spacing w:val="-8"/>
          <w:sz w:val="20"/>
        </w:rPr>
        <w:t> </w:t>
      </w:r>
      <w:hyperlink r:id="rId14">
        <w:r>
          <w:rPr>
            <w:i/>
            <w:color w:val="0077CC"/>
            <w:sz w:val="20"/>
            <w:u w:val="single" w:color="0077CC"/>
          </w:rPr>
          <w:t>Community Nutrition Institute, 467 U. S. 340, 349, </w:t>
        </w:r>
        <w:r>
          <w:rPr>
            <w:i/>
            <w:color w:val="0077CC"/>
            <w:spacing w:val="-4"/>
            <w:sz w:val="20"/>
            <w:u w:val="single" w:color="0077CC"/>
          </w:rPr>
          <w:t>104</w:t>
        </w:r>
      </w:hyperlink>
      <w:r>
        <w:rPr>
          <w:i/>
          <w:color w:val="0077CC"/>
          <w:spacing w:val="-4"/>
          <w:sz w:val="20"/>
        </w:rPr>
        <w:t> </w:t>
      </w:r>
      <w:hyperlink r:id="rId14">
        <w:r>
          <w:rPr>
            <w:i/>
            <w:color w:val="0077CC"/>
            <w:sz w:val="20"/>
            <w:u w:val="single" w:color="0077CC"/>
          </w:rPr>
          <w:t>S. Ct. 2450, 81 L. Ed. 2d 270</w:t>
        </w:r>
      </w:hyperlink>
      <w:r>
        <w:rPr>
          <w:sz w:val="20"/>
        </w:rPr>
        <w:t>. While this presumption “may be overcome by inferences of intent drawn </w:t>
      </w:r>
      <w:r>
        <w:rPr>
          <w:spacing w:val="-4"/>
          <w:sz w:val="20"/>
        </w:rPr>
        <w:t>from </w:t>
      </w:r>
      <w:r>
        <w:rPr>
          <w:sz w:val="20"/>
        </w:rPr>
        <w:t>the statutory scheme as a whole,” </w:t>
      </w:r>
      <w:r>
        <w:rPr>
          <w:i/>
          <w:sz w:val="20"/>
        </w:rPr>
        <w:t>ibid.</w:t>
      </w:r>
      <w:r>
        <w:rPr>
          <w:sz w:val="20"/>
        </w:rPr>
        <w:t>, </w:t>
      </w:r>
      <w:r>
        <w:rPr>
          <w:spacing w:val="-4"/>
          <w:sz w:val="20"/>
        </w:rPr>
        <w:t>the </w:t>
      </w:r>
      <w:r>
        <w:rPr>
          <w:sz w:val="20"/>
        </w:rPr>
        <w:t>Government's arguments do not support an inference that the Clean Water Act's statutory scheme precludes APA review. </w:t>
      </w:r>
      <w:hyperlink r:id="rId5">
        <w:r>
          <w:rPr>
            <w:i/>
            <w:color w:val="0077CC"/>
            <w:sz w:val="20"/>
            <w:u w:val="single" w:color="0077CC"/>
          </w:rPr>
          <w:t>Pp. 128-131, 182 L. Ed. 2d, at</w:t>
        </w:r>
        <w:r>
          <w:rPr>
            <w:i/>
            <w:color w:val="0077CC"/>
            <w:spacing w:val="-4"/>
            <w:sz w:val="20"/>
            <w:u w:val="single" w:color="0077CC"/>
          </w:rPr>
          <w:t> </w:t>
        </w:r>
        <w:r>
          <w:rPr>
            <w:i/>
            <w:color w:val="0077CC"/>
            <w:sz w:val="20"/>
            <w:u w:val="single" w:color="0077CC"/>
          </w:rPr>
          <w:t>375-377</w:t>
        </w:r>
      </w:hyperlink>
      <w:r>
        <w:rPr>
          <w:sz w:val="20"/>
        </w:rPr>
        <w:t>.</w:t>
      </w:r>
    </w:p>
    <w:p>
      <w:pPr>
        <w:pStyle w:val="BodyText"/>
        <w:rPr>
          <w:sz w:val="21"/>
        </w:rPr>
      </w:pPr>
    </w:p>
    <w:p>
      <w:pPr>
        <w:spacing w:before="0"/>
        <w:ind w:left="100" w:right="0" w:firstLine="0"/>
        <w:jc w:val="left"/>
        <w:rPr>
          <w:sz w:val="20"/>
        </w:rPr>
      </w:pPr>
      <w:bookmarkStart w:name="Bookmark_clspara_15" w:id="16"/>
      <w:bookmarkEnd w:id="16"/>
      <w:r>
        <w:rPr/>
      </w:r>
      <w:hyperlink r:id="rId7">
        <w:r>
          <w:rPr>
            <w:i/>
            <w:color w:val="0077CC"/>
            <w:sz w:val="20"/>
            <w:u w:val="single" w:color="0077CC"/>
          </w:rPr>
          <w:t>622 F. 3d 1139</w:t>
        </w:r>
      </w:hyperlink>
      <w:r>
        <w:rPr>
          <w:sz w:val="20"/>
        </w:rPr>
        <w:t>, reversed and remanded.</w:t>
      </w:r>
    </w:p>
    <w:p>
      <w:pPr>
        <w:pStyle w:val="BodyText"/>
        <w:spacing w:before="5"/>
        <w:rPr>
          <w:sz w:val="23"/>
        </w:rPr>
      </w:pPr>
    </w:p>
    <w:p>
      <w:pPr>
        <w:spacing w:line="271" w:lineRule="auto" w:before="0"/>
        <w:ind w:left="100" w:right="608" w:firstLine="0"/>
        <w:jc w:val="left"/>
        <w:rPr>
          <w:sz w:val="20"/>
        </w:rPr>
      </w:pPr>
      <w:bookmarkStart w:name="Counsel" w:id="17"/>
      <w:bookmarkEnd w:id="17"/>
      <w:r>
        <w:rPr/>
      </w:r>
      <w:r>
        <w:rPr>
          <w:b/>
          <w:sz w:val="20"/>
        </w:rPr>
        <w:t>Counsel: Damien M. Schiff </w:t>
      </w:r>
      <w:r>
        <w:rPr>
          <w:sz w:val="20"/>
        </w:rPr>
        <w:t>argued the cause for petitioners.</w:t>
      </w:r>
    </w:p>
    <w:p>
      <w:pPr>
        <w:pStyle w:val="BodyText"/>
        <w:rPr>
          <w:sz w:val="22"/>
        </w:rPr>
      </w:pPr>
    </w:p>
    <w:p>
      <w:pPr>
        <w:pStyle w:val="BodyText"/>
        <w:spacing w:before="10"/>
        <w:rPr>
          <w:sz w:val="22"/>
        </w:rPr>
      </w:pPr>
    </w:p>
    <w:p>
      <w:pPr>
        <w:spacing w:before="1"/>
        <w:ind w:left="100" w:right="0" w:firstLine="0"/>
        <w:jc w:val="left"/>
        <w:rPr>
          <w:sz w:val="20"/>
        </w:rPr>
      </w:pPr>
      <w:r>
        <w:rPr>
          <w:b/>
          <w:sz w:val="20"/>
        </w:rPr>
        <w:t>Malcolm L. Stewart </w:t>
      </w:r>
      <w:r>
        <w:rPr>
          <w:sz w:val="20"/>
        </w:rPr>
        <w:t>argued the cause for respondents.</w:t>
      </w:r>
    </w:p>
    <w:p>
      <w:pPr>
        <w:pStyle w:val="BodyText"/>
        <w:spacing w:before="5"/>
        <w:rPr>
          <w:sz w:val="23"/>
        </w:rPr>
      </w:pPr>
    </w:p>
    <w:p>
      <w:pPr>
        <w:pStyle w:val="BodyText"/>
        <w:spacing w:line="271" w:lineRule="auto"/>
        <w:ind w:left="100" w:right="207"/>
      </w:pPr>
      <w:bookmarkStart w:name="Judges" w:id="18"/>
      <w:bookmarkEnd w:id="18"/>
      <w:r>
        <w:rPr/>
      </w:r>
      <w:r>
        <w:rPr>
          <w:b/>
        </w:rPr>
        <w:t>Judges: </w:t>
      </w:r>
      <w:r>
        <w:rPr/>
        <w:t>Scalia, J., delivered </w:t>
      </w:r>
      <w:r>
        <w:rPr>
          <w:b/>
        </w:rPr>
        <w:t>[****4] </w:t>
      </w:r>
      <w:r>
        <w:rPr/>
        <w:t>the opinion for a unanimous Court. Ginsburg, J., </w:t>
      </w:r>
      <w:r>
        <w:rPr>
          <w:i/>
        </w:rPr>
        <w:t>post</w:t>
      </w:r>
      <w:r>
        <w:rPr/>
        <w:t>, p. 131, and Alito, J., </w:t>
      </w:r>
      <w:r>
        <w:rPr>
          <w:i/>
        </w:rPr>
        <w:t>post</w:t>
      </w:r>
      <w:r>
        <w:rPr/>
        <w:t>, p. 132, filed concurring opinions.</w:t>
      </w:r>
    </w:p>
    <w:p>
      <w:pPr>
        <w:pStyle w:val="BodyText"/>
        <w:spacing w:before="10"/>
      </w:pPr>
    </w:p>
    <w:p>
      <w:pPr>
        <w:spacing w:before="1"/>
        <w:ind w:left="100" w:right="0" w:firstLine="0"/>
        <w:jc w:val="left"/>
        <w:rPr>
          <w:sz w:val="20"/>
        </w:rPr>
      </w:pPr>
      <w:bookmarkStart w:name="Opinion by" w:id="19"/>
      <w:bookmarkEnd w:id="19"/>
      <w:r>
        <w:rPr/>
      </w:r>
      <w:r>
        <w:rPr>
          <w:b/>
          <w:sz w:val="20"/>
        </w:rPr>
        <w:t>Opinion by: </w:t>
      </w:r>
      <w:r>
        <w:rPr>
          <w:sz w:val="20"/>
        </w:rPr>
        <w:t>Scalia</w:t>
      </w:r>
    </w:p>
    <w:p>
      <w:pPr>
        <w:pStyle w:val="BodyText"/>
        <w:spacing w:before="4"/>
        <w:rPr>
          <w:sz w:val="22"/>
        </w:rPr>
      </w:pPr>
    </w:p>
    <w:p>
      <w:pPr>
        <w:pStyle w:val="Heading1"/>
        <w:spacing w:before="1"/>
      </w:pPr>
      <w:bookmarkStart w:name="Opinion" w:id="20"/>
      <w:bookmarkEnd w:id="20"/>
      <w:r>
        <w:rPr>
          <w:b w:val="0"/>
        </w:rPr>
      </w:r>
      <w:r>
        <w:rPr/>
        <w:t>Opinion</w:t>
      </w:r>
    </w:p>
    <w:p>
      <w:pPr>
        <w:pStyle w:val="BodyText"/>
        <w:spacing w:line="40" w:lineRule="exact"/>
        <w:ind w:left="80" w:right="-44"/>
        <w:rPr>
          <w:sz w:val="4"/>
        </w:rPr>
      </w:pPr>
      <w:r>
        <w:rPr>
          <w:position w:val="0"/>
          <w:sz w:val="4"/>
        </w:rPr>
        <w:pict>
          <v:group style="width:251pt;height:2pt;mso-position-horizontal-relative:char;mso-position-vertical-relative:line" coordorigin="0,0" coordsize="5020,40">
            <v:line style="position:absolute" from="0,20" to="5020,20" stroked="true" strokeweight="2pt" strokecolor="#009ddb">
              <v:stroke dashstyle="solid"/>
            </v:line>
          </v:group>
        </w:pict>
      </w:r>
      <w:r>
        <w:rPr>
          <w:position w:val="0"/>
          <w:sz w:val="4"/>
        </w:rPr>
      </w:r>
    </w:p>
    <w:p>
      <w:pPr>
        <w:pStyle w:val="BodyText"/>
        <w:rPr>
          <w:b/>
          <w:sz w:val="30"/>
        </w:rPr>
      </w:pPr>
    </w:p>
    <w:p>
      <w:pPr>
        <w:pStyle w:val="BodyText"/>
        <w:spacing w:before="240"/>
        <w:ind w:left="100"/>
      </w:pPr>
      <w:bookmarkStart w:name="Bookmark_para_2" w:id="21"/>
      <w:bookmarkEnd w:id="21"/>
      <w:r>
        <w:rPr/>
      </w:r>
      <w:r>
        <w:rPr/>
        <w:t>Justice </w:t>
      </w:r>
      <w:r>
        <w:rPr>
          <w:b/>
        </w:rPr>
        <w:t>Scalia </w:t>
      </w:r>
      <w:r>
        <w:rPr/>
        <w:t>delivered the opinion of the Court.</w:t>
      </w:r>
    </w:p>
    <w:p>
      <w:pPr>
        <w:pStyle w:val="BodyText"/>
      </w:pPr>
    </w:p>
    <w:p>
      <w:pPr>
        <w:pStyle w:val="BodyText"/>
        <w:spacing w:line="271" w:lineRule="auto"/>
        <w:ind w:left="100" w:right="38" w:firstLine="55"/>
        <w:jc w:val="both"/>
      </w:pPr>
      <w:bookmarkStart w:name="Bookmark_para_3" w:id="22"/>
      <w:bookmarkEnd w:id="22"/>
      <w:r>
        <w:rPr/>
      </w:r>
      <w:r>
        <w:rPr>
          <w:b/>
        </w:rPr>
        <w:t>[*122] </w:t>
      </w:r>
      <w:r>
        <w:rPr/>
        <w:t>We consider whether Michael and Chantell Sackett may bring a civil action under the </w:t>
      </w:r>
      <w:r>
        <w:rPr>
          <w:spacing w:val="-3"/>
        </w:rPr>
        <w:t>Administrative </w:t>
      </w:r>
      <w:r>
        <w:rPr/>
        <w:t>Procedure Act, </w:t>
      </w:r>
      <w:r>
        <w:rPr>
          <w:i/>
        </w:rPr>
        <w:t>5 U. S. C. § 500 et seq.</w:t>
      </w:r>
      <w:r>
        <w:rPr/>
        <w:t>, to challenge the issuance by the Environmental Protection Agency </w:t>
      </w:r>
      <w:r>
        <w:rPr>
          <w:spacing w:val="-3"/>
        </w:rPr>
        <w:t>(EPA) </w:t>
      </w:r>
      <w:r>
        <w:rPr/>
        <w:t>of an administrative compliance order under § 309 </w:t>
      </w:r>
      <w:r>
        <w:rPr>
          <w:spacing w:val="-6"/>
        </w:rPr>
        <w:t>of  </w:t>
      </w:r>
      <w:r>
        <w:rPr/>
        <w:t>the Clean Water Act, </w:t>
      </w:r>
      <w:hyperlink r:id="rId10">
        <w:r>
          <w:rPr>
            <w:i/>
            <w:color w:val="0077CC"/>
            <w:u w:val="single" w:color="0077CC"/>
          </w:rPr>
          <w:t>33 U. S. C. § 1319</w:t>
        </w:r>
      </w:hyperlink>
      <w:r>
        <w:rPr/>
        <w:t>. The </w:t>
      </w:r>
      <w:r>
        <w:rPr>
          <w:spacing w:val="-3"/>
        </w:rPr>
        <w:t>order </w:t>
      </w:r>
      <w:r>
        <w:rPr/>
        <w:t>asserts that the Sacketts' property is subject to the </w:t>
      </w:r>
      <w:r>
        <w:rPr>
          <w:spacing w:val="-4"/>
        </w:rPr>
        <w:t>Act, </w:t>
      </w:r>
      <w:r>
        <w:rPr/>
        <w:t>and that they have violated its provisions by placing </w:t>
      </w:r>
      <w:r>
        <w:rPr>
          <w:spacing w:val="-5"/>
        </w:rPr>
        <w:t>fill </w:t>
      </w:r>
      <w:r>
        <w:rPr/>
        <w:t>material </w:t>
      </w:r>
      <w:r>
        <w:rPr>
          <w:b/>
        </w:rPr>
        <w:t>[***372] </w:t>
      </w:r>
      <w:r>
        <w:rPr/>
        <w:t>on the property; and on this basis </w:t>
      </w:r>
      <w:r>
        <w:rPr>
          <w:spacing w:val="-6"/>
        </w:rPr>
        <w:t>it </w:t>
      </w:r>
      <w:r>
        <w:rPr/>
        <w:t>directs them immediately to restore the </w:t>
      </w:r>
      <w:r>
        <w:rPr>
          <w:spacing w:val="-3"/>
        </w:rPr>
        <w:t>property </w:t>
      </w:r>
      <w:r>
        <w:rPr/>
        <w:t>pursuant to an EPA work</w:t>
      </w:r>
      <w:r>
        <w:rPr>
          <w:spacing w:val="-1"/>
        </w:rPr>
        <w:t> </w:t>
      </w:r>
      <w:r>
        <w:rPr/>
        <w:t>plan.</w:t>
      </w:r>
    </w:p>
    <w:p>
      <w:pPr>
        <w:pStyle w:val="BodyText"/>
        <w:spacing w:before="5"/>
        <w:rPr>
          <w:sz w:val="17"/>
        </w:rPr>
      </w:pPr>
    </w:p>
    <w:p>
      <w:pPr>
        <w:pStyle w:val="BodyText"/>
        <w:spacing w:before="1"/>
        <w:ind w:left="100"/>
      </w:pPr>
      <w:bookmarkStart w:name="Bookmark_para_4" w:id="23"/>
      <w:bookmarkEnd w:id="23"/>
      <w:r>
        <w:rPr/>
      </w:r>
      <w:r>
        <w:rPr/>
        <w:t>I</w:t>
      </w:r>
    </w:p>
    <w:p>
      <w:pPr>
        <w:pStyle w:val="BodyText"/>
        <w:spacing w:line="273" w:lineRule="auto" w:before="97"/>
        <w:ind w:left="100" w:right="117"/>
        <w:jc w:val="both"/>
      </w:pPr>
      <w:r>
        <w:rPr/>
        <w:br w:type="column"/>
      </w:r>
      <w:r>
        <w:rPr/>
        <w:t>each violation." </w:t>
      </w:r>
      <w:r>
        <w:rPr>
          <w:position w:val="7"/>
          <w:sz w:val="16"/>
        </w:rPr>
        <w:t>1 </w:t>
      </w:r>
      <w:hyperlink r:id="rId10">
        <w:r>
          <w:rPr>
            <w:i/>
            <w:color w:val="0077CC"/>
            <w:u w:val="single" w:color="0077CC"/>
          </w:rPr>
          <w:t>§ 1319(d)</w:t>
        </w:r>
      </w:hyperlink>
      <w:r>
        <w:rPr/>
        <w:t>. And according to the Government, when the EPA prevails against any person who has been issued a compliance order but has failed to comply, that amount is increased to $75,000--up to</w:t>
      </w:r>
    </w:p>
    <w:p>
      <w:pPr>
        <w:pStyle w:val="BodyText"/>
        <w:spacing w:line="271" w:lineRule="auto"/>
        <w:ind w:left="100" w:right="117"/>
        <w:jc w:val="both"/>
      </w:pPr>
      <w:r>
        <w:rPr/>
        <w:t>$37,500 for the statutory violation and up to </w:t>
      </w:r>
      <w:r>
        <w:rPr>
          <w:spacing w:val="-7"/>
        </w:rPr>
        <w:t>an </w:t>
      </w:r>
      <w:r>
        <w:rPr/>
        <w:t>additional $37,500 for violating the compliance</w:t>
      </w:r>
      <w:r>
        <w:rPr>
          <w:spacing w:val="-2"/>
        </w:rPr>
        <w:t> </w:t>
      </w:r>
      <w:r>
        <w:rPr/>
        <w:t>order.</w:t>
      </w:r>
    </w:p>
    <w:p>
      <w:pPr>
        <w:pStyle w:val="BodyText"/>
        <w:spacing w:before="10"/>
      </w:pPr>
    </w:p>
    <w:p>
      <w:pPr>
        <w:pStyle w:val="BodyText"/>
        <w:spacing w:line="271" w:lineRule="auto"/>
        <w:ind w:left="100" w:right="117"/>
        <w:jc w:val="both"/>
        <w:rPr>
          <w:i/>
        </w:rPr>
      </w:pPr>
      <w:bookmarkStart w:name="Bookmark_para_6" w:id="24"/>
      <w:bookmarkEnd w:id="24"/>
      <w:r>
        <w:rPr/>
      </w:r>
      <w:r>
        <w:rPr/>
        <w:t>The particulars of this case flow from a dispute </w:t>
      </w:r>
      <w:r>
        <w:rPr>
          <w:spacing w:val="-3"/>
        </w:rPr>
        <w:t>about  </w:t>
      </w:r>
      <w:r>
        <w:rPr/>
        <w:t>the scope of "the navigable waters" subject to </w:t>
      </w:r>
      <w:r>
        <w:rPr>
          <w:spacing w:val="-4"/>
        </w:rPr>
        <w:t>this </w:t>
      </w:r>
      <w:r>
        <w:rPr/>
        <w:t>enforcement regime. </w:t>
      </w:r>
      <w:bookmarkStart w:name="Bookmark_I55CG8J42D6NV60040000400" w:id="25"/>
      <w:bookmarkEnd w:id="25"/>
      <w:r>
        <w:rPr/>
        <w:t>Today</w:t>
      </w:r>
      <w:r>
        <w:rPr/>
        <w:t> we consider only whether the dispute may be brought to court by challenging </w:t>
      </w:r>
      <w:r>
        <w:rPr>
          <w:spacing w:val="-4"/>
        </w:rPr>
        <w:t>the </w:t>
      </w:r>
      <w:r>
        <w:rPr/>
        <w:t>compliance order--we do not resolve the dispute on </w:t>
      </w:r>
      <w:r>
        <w:rPr>
          <w:spacing w:val="-5"/>
        </w:rPr>
        <w:t>the </w:t>
      </w:r>
      <w:r>
        <w:rPr/>
        <w:t>merits. </w:t>
      </w:r>
      <w:bookmarkStart w:name="Bookmark_I55CG8J428T4JT0030000400" w:id="26"/>
      <w:bookmarkEnd w:id="26"/>
      <w:r>
        <w:rPr/>
        <w:t>The</w:t>
      </w:r>
      <w:r>
        <w:rPr/>
        <w:t> reader will be curious, however, to </w:t>
      </w:r>
      <w:r>
        <w:rPr>
          <w:spacing w:val="-3"/>
        </w:rPr>
        <w:t>know </w:t>
      </w:r>
      <w:r>
        <w:rPr/>
        <w:t>what all the fuss </w:t>
      </w:r>
      <w:r>
        <w:rPr>
          <w:b/>
        </w:rPr>
        <w:t>[****6] </w:t>
      </w:r>
      <w:r>
        <w:rPr/>
        <w:t>is about. </w:t>
      </w:r>
      <w:bookmarkStart w:name="Bookmark_I55CG8J428T4JV0020000400" w:id="27"/>
      <w:bookmarkEnd w:id="27"/>
      <w:r>
        <w:rPr/>
        <w:t>In</w:t>
      </w:r>
      <w:bookmarkStart w:name="Bookmark_I55CG8J42D6NV60030000400" w:id="28"/>
      <w:bookmarkEnd w:id="28"/>
      <w:r>
        <w:rPr/>
      </w:r>
      <w:r>
        <w:rPr/>
        <w:t> </w:t>
      </w:r>
      <w:hyperlink r:id="rId15">
        <w:r>
          <w:rPr>
            <w:i/>
            <w:color w:val="0077CC"/>
            <w:u w:val="single" w:color="0077CC"/>
          </w:rPr>
          <w:t>United States </w:t>
        </w:r>
        <w:r>
          <w:rPr>
            <w:i/>
            <w:color w:val="0077CC"/>
            <w:spacing w:val="-6"/>
            <w:u w:val="single" w:color="0077CC"/>
          </w:rPr>
          <w:t>v.</w:t>
        </w:r>
      </w:hyperlink>
      <w:r>
        <w:rPr>
          <w:i/>
          <w:color w:val="0077CC"/>
          <w:spacing w:val="-6"/>
        </w:rPr>
        <w:t> </w:t>
      </w:r>
      <w:hyperlink r:id="rId15">
        <w:r>
          <w:rPr>
            <w:i/>
            <w:color w:val="0077CC"/>
            <w:u w:val="single" w:color="0077CC"/>
          </w:rPr>
          <w:t>Riverside</w:t>
        </w:r>
        <w:r>
          <w:rPr>
            <w:i/>
            <w:color w:val="0077CC"/>
            <w:spacing w:val="33"/>
            <w:u w:val="single" w:color="0077CC"/>
          </w:rPr>
          <w:t> </w:t>
        </w:r>
        <w:r>
          <w:rPr>
            <w:i/>
            <w:color w:val="0077CC"/>
            <w:u w:val="single" w:color="0077CC"/>
          </w:rPr>
          <w:t>Bayview</w:t>
        </w:r>
        <w:r>
          <w:rPr>
            <w:i/>
            <w:color w:val="0077CC"/>
            <w:spacing w:val="35"/>
            <w:u w:val="single" w:color="0077CC"/>
          </w:rPr>
          <w:t> </w:t>
        </w:r>
        <w:r>
          <w:rPr>
            <w:i/>
            <w:color w:val="0077CC"/>
            <w:u w:val="single" w:color="0077CC"/>
          </w:rPr>
          <w:t>Homes,</w:t>
        </w:r>
        <w:r>
          <w:rPr>
            <w:i/>
            <w:color w:val="0077CC"/>
            <w:spacing w:val="33"/>
            <w:u w:val="single" w:color="0077CC"/>
          </w:rPr>
          <w:t> </w:t>
        </w:r>
        <w:r>
          <w:rPr>
            <w:i/>
            <w:color w:val="0077CC"/>
            <w:u w:val="single" w:color="0077CC"/>
          </w:rPr>
          <w:t>Inc.,</w:t>
        </w:r>
        <w:r>
          <w:rPr>
            <w:i/>
            <w:color w:val="0077CC"/>
            <w:spacing w:val="34"/>
            <w:u w:val="single" w:color="0077CC"/>
          </w:rPr>
          <w:t> </w:t>
        </w:r>
        <w:r>
          <w:rPr>
            <w:i/>
            <w:color w:val="0077CC"/>
            <w:u w:val="single" w:color="0077CC"/>
          </w:rPr>
          <w:t>474</w:t>
        </w:r>
        <w:r>
          <w:rPr>
            <w:i/>
            <w:color w:val="0077CC"/>
            <w:spacing w:val="33"/>
            <w:u w:val="single" w:color="0077CC"/>
          </w:rPr>
          <w:t> </w:t>
        </w:r>
        <w:r>
          <w:rPr>
            <w:i/>
            <w:color w:val="0077CC"/>
            <w:u w:val="single" w:color="0077CC"/>
          </w:rPr>
          <w:t>U.S.</w:t>
        </w:r>
        <w:r>
          <w:rPr>
            <w:i/>
            <w:color w:val="0077CC"/>
            <w:spacing w:val="34"/>
            <w:u w:val="single" w:color="0077CC"/>
          </w:rPr>
          <w:t> </w:t>
        </w:r>
        <w:r>
          <w:rPr>
            <w:i/>
            <w:color w:val="0077CC"/>
            <w:u w:val="single" w:color="0077CC"/>
          </w:rPr>
          <w:t>121,</w:t>
        </w:r>
        <w:r>
          <w:rPr>
            <w:i/>
            <w:color w:val="0077CC"/>
            <w:spacing w:val="34"/>
            <w:u w:val="single" w:color="0077CC"/>
          </w:rPr>
          <w:t> </w:t>
        </w:r>
        <w:r>
          <w:rPr>
            <w:i/>
            <w:color w:val="0077CC"/>
            <w:u w:val="single" w:color="0077CC"/>
          </w:rPr>
          <w:t>106</w:t>
        </w:r>
        <w:r>
          <w:rPr>
            <w:i/>
            <w:color w:val="0077CC"/>
            <w:spacing w:val="34"/>
            <w:u w:val="single" w:color="0077CC"/>
          </w:rPr>
          <w:t> </w:t>
        </w:r>
        <w:r>
          <w:rPr>
            <w:i/>
            <w:color w:val="0077CC"/>
            <w:spacing w:val="-6"/>
            <w:u w:val="single" w:color="0077CC"/>
          </w:rPr>
          <w:t>S.</w:t>
        </w:r>
      </w:hyperlink>
    </w:p>
    <w:p>
      <w:pPr>
        <w:spacing w:line="271" w:lineRule="auto" w:before="1"/>
        <w:ind w:left="100" w:right="117" w:firstLine="0"/>
        <w:jc w:val="both"/>
        <w:rPr>
          <w:i/>
          <w:sz w:val="20"/>
        </w:rPr>
      </w:pPr>
      <w:hyperlink r:id="rId15">
        <w:r>
          <w:rPr>
            <w:i/>
            <w:color w:val="0077CC"/>
            <w:sz w:val="20"/>
            <w:u w:val="single" w:color="0077CC"/>
          </w:rPr>
          <w:t>Ct. 455, 88 L. Ed. 2d 419 (1985)</w:t>
        </w:r>
      </w:hyperlink>
      <w:r>
        <w:rPr>
          <w:sz w:val="20"/>
        </w:rPr>
        <w:t>, we upheld a regulation that construed "the navigable waters" to include "freshwater wetlands,"</w:t>
      </w:r>
      <w:bookmarkStart w:name="Bookmark_I55CG8J42D6NV60050000400" w:id="29"/>
      <w:bookmarkEnd w:id="29"/>
      <w:r>
        <w:rPr>
          <w:sz w:val="20"/>
        </w:rPr>
      </w:r>
      <w:r>
        <w:rPr>
          <w:sz w:val="20"/>
        </w:rPr>
        <w:t> </w:t>
      </w:r>
      <w:hyperlink r:id="rId15">
        <w:r>
          <w:rPr>
            <w:i/>
            <w:color w:val="0077CC"/>
            <w:sz w:val="20"/>
            <w:u w:val="single" w:color="0077CC"/>
          </w:rPr>
          <w:t>id., at 124, 106 S. Ct. 455, 88 </w:t>
        </w:r>
        <w:r>
          <w:rPr>
            <w:i/>
            <w:color w:val="0077CC"/>
            <w:spacing w:val="-6"/>
            <w:sz w:val="20"/>
            <w:u w:val="single" w:color="0077CC"/>
          </w:rPr>
          <w:t>L.</w:t>
        </w:r>
      </w:hyperlink>
      <w:r>
        <w:rPr>
          <w:i/>
          <w:color w:val="0077CC"/>
          <w:spacing w:val="-6"/>
          <w:sz w:val="20"/>
        </w:rPr>
        <w:t> </w:t>
      </w:r>
      <w:hyperlink r:id="rId15">
        <w:r>
          <w:rPr>
            <w:i/>
            <w:color w:val="0077CC"/>
            <w:sz w:val="20"/>
            <w:u w:val="single" w:color="0077CC"/>
          </w:rPr>
          <w:t>Ed. 2d 419</w:t>
        </w:r>
      </w:hyperlink>
      <w:r>
        <w:rPr>
          <w:sz w:val="20"/>
        </w:rPr>
        <w:t>, themselves not actually navigable, that  were adjacent to navigable-in-fact waters.</w:t>
      </w:r>
      <w:bookmarkStart w:name="Bookmark_I55CG8J428T4JV0020000400_2" w:id="30"/>
      <w:bookmarkEnd w:id="30"/>
      <w:r>
        <w:rPr>
          <w:sz w:val="20"/>
        </w:rPr>
      </w:r>
      <w:bookmarkStart w:name="Bookmark_I55CG8J428T4JT0030000400_2" w:id="31"/>
      <w:bookmarkEnd w:id="31"/>
      <w:r>
        <w:rPr>
          <w:sz w:val="20"/>
        </w:rPr>
      </w:r>
      <w:r>
        <w:rPr>
          <w:sz w:val="20"/>
        </w:rPr>
        <w:t> </w:t>
      </w:r>
      <w:bookmarkStart w:name="Bookmark_I55CG8J428T4JV0040000400" w:id="32"/>
      <w:bookmarkEnd w:id="32"/>
      <w:r>
        <w:rPr>
          <w:sz w:val="20"/>
        </w:rPr>
        <w:t>La</w:t>
      </w:r>
      <w:r>
        <w:rPr>
          <w:sz w:val="20"/>
        </w:rPr>
        <w:t>ter, in</w:t>
      </w:r>
      <w:bookmarkStart w:name="Bookmark_I55CG8J428T4JT0020000400" w:id="33"/>
      <w:bookmarkEnd w:id="33"/>
      <w:r>
        <w:rPr>
          <w:sz w:val="20"/>
        </w:rPr>
      </w:r>
      <w:r>
        <w:rPr>
          <w:sz w:val="20"/>
        </w:rPr>
        <w:t> </w:t>
      </w:r>
      <w:hyperlink r:id="rId16">
        <w:r>
          <w:rPr>
            <w:i/>
            <w:color w:val="0077CC"/>
            <w:spacing w:val="-3"/>
            <w:sz w:val="20"/>
            <w:u w:val="single" w:color="0077CC"/>
          </w:rPr>
          <w:t>Solid</w:t>
        </w:r>
      </w:hyperlink>
      <w:r>
        <w:rPr>
          <w:i/>
          <w:color w:val="0077CC"/>
          <w:spacing w:val="-3"/>
          <w:sz w:val="20"/>
        </w:rPr>
        <w:t> </w:t>
      </w:r>
      <w:hyperlink r:id="rId16">
        <w:r>
          <w:rPr>
            <w:i/>
            <w:color w:val="0077CC"/>
            <w:sz w:val="20"/>
            <w:u w:val="single" w:color="0077CC"/>
          </w:rPr>
          <w:t>Waste Agency of Northern Cook Cty. v. Army Corps </w:t>
        </w:r>
        <w:r>
          <w:rPr>
            <w:i/>
            <w:color w:val="0077CC"/>
            <w:spacing w:val="-6"/>
            <w:sz w:val="20"/>
            <w:u w:val="single" w:color="0077CC"/>
          </w:rPr>
          <w:t>of</w:t>
        </w:r>
      </w:hyperlink>
      <w:r>
        <w:rPr>
          <w:i/>
          <w:color w:val="0077CC"/>
          <w:spacing w:val="-6"/>
          <w:sz w:val="20"/>
        </w:rPr>
        <w:t> </w:t>
      </w:r>
      <w:hyperlink r:id="rId16">
        <w:r>
          <w:rPr>
            <w:i/>
            <w:color w:val="0077CC"/>
            <w:sz w:val="20"/>
            <w:u w:val="single" w:color="0077CC"/>
          </w:rPr>
          <w:t>Engineers,</w:t>
        </w:r>
        <w:r>
          <w:rPr>
            <w:i/>
            <w:color w:val="0077CC"/>
            <w:spacing w:val="11"/>
            <w:sz w:val="20"/>
            <w:u w:val="single" w:color="0077CC"/>
          </w:rPr>
          <w:t> </w:t>
        </w:r>
        <w:r>
          <w:rPr>
            <w:i/>
            <w:color w:val="0077CC"/>
            <w:sz w:val="20"/>
            <w:u w:val="single" w:color="0077CC"/>
          </w:rPr>
          <w:t>531</w:t>
        </w:r>
        <w:r>
          <w:rPr>
            <w:i/>
            <w:color w:val="0077CC"/>
            <w:spacing w:val="11"/>
            <w:sz w:val="20"/>
            <w:u w:val="single" w:color="0077CC"/>
          </w:rPr>
          <w:t> </w:t>
        </w:r>
        <w:r>
          <w:rPr>
            <w:i/>
            <w:color w:val="0077CC"/>
            <w:sz w:val="20"/>
            <w:u w:val="single" w:color="0077CC"/>
          </w:rPr>
          <w:t>U.S.</w:t>
        </w:r>
        <w:r>
          <w:rPr>
            <w:i/>
            <w:color w:val="0077CC"/>
            <w:spacing w:val="11"/>
            <w:sz w:val="20"/>
            <w:u w:val="single" w:color="0077CC"/>
          </w:rPr>
          <w:t> </w:t>
        </w:r>
        <w:r>
          <w:rPr>
            <w:i/>
            <w:color w:val="0077CC"/>
            <w:sz w:val="20"/>
            <w:u w:val="single" w:color="0077CC"/>
          </w:rPr>
          <w:t>159,</w:t>
        </w:r>
        <w:r>
          <w:rPr>
            <w:i/>
            <w:color w:val="0077CC"/>
            <w:spacing w:val="11"/>
            <w:sz w:val="20"/>
            <w:u w:val="single" w:color="0077CC"/>
          </w:rPr>
          <w:t> </w:t>
        </w:r>
        <w:r>
          <w:rPr>
            <w:i/>
            <w:color w:val="0077CC"/>
            <w:sz w:val="20"/>
            <w:u w:val="single" w:color="0077CC"/>
          </w:rPr>
          <w:t>121</w:t>
        </w:r>
        <w:r>
          <w:rPr>
            <w:i/>
            <w:color w:val="0077CC"/>
            <w:spacing w:val="11"/>
            <w:sz w:val="20"/>
            <w:u w:val="single" w:color="0077CC"/>
          </w:rPr>
          <w:t> </w:t>
        </w:r>
        <w:r>
          <w:rPr>
            <w:i/>
            <w:color w:val="0077CC"/>
            <w:sz w:val="20"/>
            <w:u w:val="single" w:color="0077CC"/>
          </w:rPr>
          <w:t>S.</w:t>
        </w:r>
        <w:r>
          <w:rPr>
            <w:i/>
            <w:color w:val="0077CC"/>
            <w:spacing w:val="11"/>
            <w:sz w:val="20"/>
            <w:u w:val="single" w:color="0077CC"/>
          </w:rPr>
          <w:t> </w:t>
        </w:r>
        <w:r>
          <w:rPr>
            <w:i/>
            <w:color w:val="0077CC"/>
            <w:sz w:val="20"/>
            <w:u w:val="single" w:color="0077CC"/>
          </w:rPr>
          <w:t>Ct.</w:t>
        </w:r>
        <w:r>
          <w:rPr>
            <w:i/>
            <w:color w:val="0077CC"/>
            <w:spacing w:val="11"/>
            <w:sz w:val="20"/>
            <w:u w:val="single" w:color="0077CC"/>
          </w:rPr>
          <w:t> </w:t>
        </w:r>
        <w:r>
          <w:rPr>
            <w:i/>
            <w:color w:val="0077CC"/>
            <w:sz w:val="20"/>
            <w:u w:val="single" w:color="0077CC"/>
          </w:rPr>
          <w:t>675,</w:t>
        </w:r>
        <w:r>
          <w:rPr>
            <w:i/>
            <w:color w:val="0077CC"/>
            <w:spacing w:val="11"/>
            <w:sz w:val="20"/>
            <w:u w:val="single" w:color="0077CC"/>
          </w:rPr>
          <w:t> </w:t>
        </w:r>
        <w:r>
          <w:rPr>
            <w:i/>
            <w:color w:val="0077CC"/>
            <w:sz w:val="20"/>
            <w:u w:val="single" w:color="0077CC"/>
          </w:rPr>
          <w:t>148</w:t>
        </w:r>
        <w:r>
          <w:rPr>
            <w:i/>
            <w:color w:val="0077CC"/>
            <w:spacing w:val="11"/>
            <w:sz w:val="20"/>
            <w:u w:val="single" w:color="0077CC"/>
          </w:rPr>
          <w:t> </w:t>
        </w:r>
        <w:r>
          <w:rPr>
            <w:i/>
            <w:color w:val="0077CC"/>
            <w:sz w:val="20"/>
            <w:u w:val="single" w:color="0077CC"/>
          </w:rPr>
          <w:t>L.</w:t>
        </w:r>
        <w:r>
          <w:rPr>
            <w:i/>
            <w:color w:val="0077CC"/>
            <w:spacing w:val="11"/>
            <w:sz w:val="20"/>
            <w:u w:val="single" w:color="0077CC"/>
          </w:rPr>
          <w:t> </w:t>
        </w:r>
        <w:r>
          <w:rPr>
            <w:i/>
            <w:color w:val="0077CC"/>
            <w:sz w:val="20"/>
            <w:u w:val="single" w:color="0077CC"/>
          </w:rPr>
          <w:t>Ed.</w:t>
        </w:r>
        <w:r>
          <w:rPr>
            <w:i/>
            <w:color w:val="0077CC"/>
            <w:spacing w:val="11"/>
            <w:sz w:val="20"/>
            <w:u w:val="single" w:color="0077CC"/>
          </w:rPr>
          <w:t> </w:t>
        </w:r>
        <w:r>
          <w:rPr>
            <w:i/>
            <w:color w:val="0077CC"/>
            <w:sz w:val="20"/>
            <w:u w:val="single" w:color="0077CC"/>
          </w:rPr>
          <w:t>2d</w:t>
        </w:r>
      </w:hyperlink>
    </w:p>
    <w:p>
      <w:pPr>
        <w:spacing w:line="271" w:lineRule="auto" w:before="1"/>
        <w:ind w:left="100" w:right="117" w:firstLine="0"/>
        <w:jc w:val="both"/>
        <w:rPr>
          <w:sz w:val="20"/>
        </w:rPr>
      </w:pPr>
      <w:hyperlink r:id="rId16">
        <w:r>
          <w:rPr>
            <w:i/>
            <w:color w:val="0077CC"/>
            <w:sz w:val="20"/>
            <w:u w:val="single" w:color="0077CC"/>
          </w:rPr>
          <w:t>576 (2001)</w:t>
        </w:r>
      </w:hyperlink>
      <w:r>
        <w:rPr>
          <w:sz w:val="20"/>
        </w:rPr>
        <w:t>, we held that an abandoned sand and </w:t>
      </w:r>
      <w:r>
        <w:rPr>
          <w:spacing w:val="-3"/>
          <w:sz w:val="20"/>
        </w:rPr>
        <w:t>gravel </w:t>
      </w:r>
      <w:r>
        <w:rPr>
          <w:sz w:val="20"/>
        </w:rPr>
        <w:t>pit, which "seasonally ponded" but which was </w:t>
      </w:r>
      <w:r>
        <w:rPr>
          <w:spacing w:val="-5"/>
          <w:sz w:val="20"/>
        </w:rPr>
        <w:t>not </w:t>
      </w:r>
      <w:r>
        <w:rPr>
          <w:sz w:val="20"/>
        </w:rPr>
        <w:t>adjacent to open water,</w:t>
      </w:r>
      <w:bookmarkStart w:name="Bookmark_I55CG8J428T4JT0040000400" w:id="34"/>
      <w:bookmarkEnd w:id="34"/>
      <w:r>
        <w:rPr>
          <w:sz w:val="20"/>
        </w:rPr>
      </w:r>
      <w:hyperlink r:id="rId16">
        <w:r>
          <w:rPr>
            <w:color w:val="0077CC"/>
            <w:sz w:val="20"/>
          </w:rPr>
          <w:t> </w:t>
        </w:r>
        <w:r>
          <w:rPr>
            <w:i/>
            <w:color w:val="0077CC"/>
            <w:sz w:val="20"/>
            <w:u w:val="single" w:color="0077CC"/>
          </w:rPr>
          <w:t>id., at 164, 121 S. Ct. 675, 148</w:t>
        </w:r>
      </w:hyperlink>
      <w:hyperlink r:id="rId16">
        <w:r>
          <w:rPr>
            <w:i/>
            <w:color w:val="0077CC"/>
            <w:sz w:val="20"/>
            <w:u w:val="single" w:color="0077CC"/>
          </w:rPr>
          <w:t> </w:t>
        </w:r>
        <w:r>
          <w:rPr>
            <w:i/>
            <w:color w:val="0077CC"/>
            <w:sz w:val="20"/>
            <w:u w:val="single" w:color="0077CC"/>
          </w:rPr>
          <w:t>L. Ed. 2d 576</w:t>
        </w:r>
      </w:hyperlink>
      <w:r>
        <w:rPr>
          <w:sz w:val="20"/>
        </w:rPr>
        <w:t>, was not part of the navigable waters.</w:t>
      </w:r>
      <w:bookmarkStart w:name="Bookmark_I55CG8J428T4JV0040000400_2" w:id="35"/>
      <w:bookmarkEnd w:id="35"/>
      <w:r>
        <w:rPr>
          <w:sz w:val="20"/>
        </w:rPr>
      </w:r>
      <w:r>
        <w:rPr>
          <w:sz w:val="20"/>
        </w:rPr>
        <w:t> Then most recently, in</w:t>
      </w:r>
      <w:bookmarkStart w:name="Bookmark_I55CG8J428T4JV0010000400" w:id="36"/>
      <w:bookmarkEnd w:id="36"/>
      <w:r>
        <w:rPr>
          <w:sz w:val="20"/>
        </w:rPr>
      </w:r>
      <w:hyperlink r:id="rId17">
        <w:r>
          <w:rPr>
            <w:color w:val="0077CC"/>
            <w:sz w:val="20"/>
          </w:rPr>
          <w:t> </w:t>
        </w:r>
        <w:r>
          <w:rPr>
            <w:i/>
            <w:color w:val="0077CC"/>
            <w:sz w:val="20"/>
            <w:u w:val="single" w:color="0077CC"/>
          </w:rPr>
          <w:t>Rapanos v. United States, </w:t>
        </w:r>
        <w:r>
          <w:rPr>
            <w:i/>
            <w:color w:val="0077CC"/>
            <w:spacing w:val="-5"/>
            <w:sz w:val="20"/>
            <w:u w:val="single" w:color="0077CC"/>
          </w:rPr>
          <w:t>547</w:t>
        </w:r>
      </w:hyperlink>
      <w:hyperlink r:id="rId17">
        <w:r>
          <w:rPr>
            <w:i/>
            <w:color w:val="0077CC"/>
            <w:spacing w:val="-5"/>
            <w:sz w:val="20"/>
            <w:u w:val="single" w:color="0077CC"/>
          </w:rPr>
          <w:t> </w:t>
        </w:r>
        <w:r>
          <w:rPr>
            <w:i/>
            <w:color w:val="0077CC"/>
            <w:sz w:val="20"/>
            <w:u w:val="single" w:color="0077CC"/>
          </w:rPr>
          <w:t>U.S. 715, 126 S. Ct. 2208, 165 L. Ed. 2d 159 (2006)</w:t>
        </w:r>
      </w:hyperlink>
      <w:r>
        <w:rPr>
          <w:sz w:val="20"/>
        </w:rPr>
        <w:t>,</w:t>
      </w:r>
      <w:r>
        <w:rPr>
          <w:spacing w:val="23"/>
          <w:sz w:val="20"/>
        </w:rPr>
        <w:t> </w:t>
      </w:r>
      <w:r>
        <w:rPr>
          <w:sz w:val="20"/>
        </w:rPr>
        <w:t>we</w:t>
      </w:r>
    </w:p>
    <w:p>
      <w:pPr>
        <w:pStyle w:val="BodyText"/>
        <w:spacing w:line="271" w:lineRule="auto" w:before="1"/>
        <w:ind w:left="100" w:right="117"/>
        <w:jc w:val="both"/>
        <w:rPr>
          <w:i/>
        </w:rPr>
      </w:pPr>
      <w:r>
        <w:rPr/>
        <w:t>considered whether a wetland not adjacent </w:t>
      </w:r>
      <w:r>
        <w:rPr>
          <w:b/>
        </w:rPr>
        <w:t>[*124] </w:t>
      </w:r>
      <w:r>
        <w:rPr>
          <w:spacing w:val="-9"/>
        </w:rPr>
        <w:t>to </w:t>
      </w:r>
      <w:r>
        <w:rPr/>
        <w:t>navigable-in-fact waters fell within the scope of the </w:t>
      </w:r>
      <w:r>
        <w:rPr>
          <w:spacing w:val="-4"/>
        </w:rPr>
        <w:t>Act. </w:t>
      </w:r>
      <w:r>
        <w:rPr/>
        <w:t>Our answer was no, but no one rationale commanded </w:t>
      </w:r>
      <w:r>
        <w:rPr>
          <w:spacing w:val="-15"/>
        </w:rPr>
        <w:t>a </w:t>
      </w:r>
      <w:r>
        <w:rPr/>
        <w:t>majority of the Court. </w:t>
      </w:r>
      <w:bookmarkStart w:name="Bookmark_I55CG8J428T4JV0040000400_3" w:id="37"/>
      <w:bookmarkEnd w:id="37"/>
      <w:r>
        <w:rPr/>
        <w:t>In</w:t>
      </w:r>
      <w:r>
        <w:rPr/>
        <w:t> his separate opinion, </w:t>
      </w:r>
      <w:r>
        <w:rPr>
          <w:spacing w:val="-5"/>
        </w:rPr>
        <w:t>THE </w:t>
      </w:r>
      <w:r>
        <w:rPr/>
        <w:t>CHIEF JUSTICE expressed the concern that </w:t>
      </w:r>
      <w:r>
        <w:rPr>
          <w:spacing w:val="-3"/>
        </w:rPr>
        <w:t>interested </w:t>
      </w:r>
      <w:r>
        <w:rPr/>
        <w:t>parties would lack guidance "on precisely how to </w:t>
      </w:r>
      <w:r>
        <w:rPr>
          <w:spacing w:val="-4"/>
        </w:rPr>
        <w:t>read </w:t>
      </w:r>
      <w:r>
        <w:rPr/>
        <w:t>Congress' limits on the reach of the Clean Water </w:t>
      </w:r>
      <w:r>
        <w:rPr>
          <w:spacing w:val="-4"/>
        </w:rPr>
        <w:t>Act" </w:t>
      </w:r>
      <w:r>
        <w:rPr/>
        <w:t>and would be left "to feel their way on a </w:t>
      </w:r>
      <w:r>
        <w:rPr>
          <w:spacing w:val="-2"/>
        </w:rPr>
        <w:t>case-by-case </w:t>
      </w:r>
      <w:r>
        <w:rPr/>
        <w:t>basis."</w:t>
      </w:r>
      <w:bookmarkStart w:name="Bookmark_I55CG8J428T4JV0030000400" w:id="38"/>
      <w:bookmarkEnd w:id="38"/>
      <w:r>
        <w:rPr/>
      </w:r>
      <w:r>
        <w:rPr>
          <w:spacing w:val="21"/>
        </w:rPr>
        <w:t> </w:t>
      </w:r>
      <w:hyperlink r:id="rId17">
        <w:r>
          <w:rPr>
            <w:i/>
            <w:color w:val="0077CC"/>
            <w:u w:val="single" w:color="0077CC"/>
          </w:rPr>
          <w:t>Id.,</w:t>
        </w:r>
        <w:r>
          <w:rPr>
            <w:i/>
            <w:color w:val="0077CC"/>
            <w:spacing w:val="22"/>
            <w:u w:val="single" w:color="0077CC"/>
          </w:rPr>
          <w:t> </w:t>
        </w:r>
        <w:r>
          <w:rPr>
            <w:i/>
            <w:color w:val="0077CC"/>
            <w:u w:val="single" w:color="0077CC"/>
          </w:rPr>
          <w:t>at</w:t>
        </w:r>
        <w:r>
          <w:rPr>
            <w:i/>
            <w:color w:val="0077CC"/>
            <w:spacing w:val="22"/>
            <w:u w:val="single" w:color="0077CC"/>
          </w:rPr>
          <w:t> </w:t>
        </w:r>
        <w:r>
          <w:rPr>
            <w:i/>
            <w:color w:val="0077CC"/>
            <w:u w:val="single" w:color="0077CC"/>
          </w:rPr>
          <w:t>758,</w:t>
        </w:r>
        <w:r>
          <w:rPr>
            <w:i/>
            <w:color w:val="0077CC"/>
            <w:spacing w:val="22"/>
            <w:u w:val="single" w:color="0077CC"/>
          </w:rPr>
          <w:t> </w:t>
        </w:r>
        <w:r>
          <w:rPr>
            <w:i/>
            <w:color w:val="0077CC"/>
            <w:u w:val="single" w:color="0077CC"/>
          </w:rPr>
          <w:t>126</w:t>
        </w:r>
        <w:r>
          <w:rPr>
            <w:i/>
            <w:color w:val="0077CC"/>
            <w:spacing w:val="22"/>
            <w:u w:val="single" w:color="0077CC"/>
          </w:rPr>
          <w:t> </w:t>
        </w:r>
        <w:r>
          <w:rPr>
            <w:i/>
            <w:color w:val="0077CC"/>
            <w:u w:val="single" w:color="0077CC"/>
          </w:rPr>
          <w:t>S.</w:t>
        </w:r>
        <w:r>
          <w:rPr>
            <w:i/>
            <w:color w:val="0077CC"/>
            <w:spacing w:val="22"/>
            <w:u w:val="single" w:color="0077CC"/>
          </w:rPr>
          <w:t> </w:t>
        </w:r>
        <w:r>
          <w:rPr>
            <w:i/>
            <w:color w:val="0077CC"/>
            <w:u w:val="single" w:color="0077CC"/>
          </w:rPr>
          <w:t>Ct.</w:t>
        </w:r>
        <w:r>
          <w:rPr>
            <w:i/>
            <w:color w:val="0077CC"/>
            <w:spacing w:val="22"/>
            <w:u w:val="single" w:color="0077CC"/>
          </w:rPr>
          <w:t> </w:t>
        </w:r>
        <w:r>
          <w:rPr>
            <w:i/>
            <w:color w:val="0077CC"/>
            <w:u w:val="single" w:color="0077CC"/>
          </w:rPr>
          <w:t>2208,</w:t>
        </w:r>
        <w:r>
          <w:rPr>
            <w:i/>
            <w:color w:val="0077CC"/>
            <w:spacing w:val="22"/>
            <w:u w:val="single" w:color="0077CC"/>
          </w:rPr>
          <w:t> </w:t>
        </w:r>
        <w:r>
          <w:rPr>
            <w:i/>
            <w:color w:val="0077CC"/>
            <w:u w:val="single" w:color="0077CC"/>
          </w:rPr>
          <w:t>165</w:t>
        </w:r>
        <w:r>
          <w:rPr>
            <w:i/>
            <w:color w:val="0077CC"/>
            <w:spacing w:val="22"/>
            <w:u w:val="single" w:color="0077CC"/>
          </w:rPr>
          <w:t> </w:t>
        </w:r>
        <w:r>
          <w:rPr>
            <w:i/>
            <w:color w:val="0077CC"/>
            <w:u w:val="single" w:color="0077CC"/>
          </w:rPr>
          <w:t>L.</w:t>
        </w:r>
        <w:r>
          <w:rPr>
            <w:i/>
            <w:color w:val="0077CC"/>
            <w:spacing w:val="22"/>
            <w:u w:val="single" w:color="0077CC"/>
          </w:rPr>
          <w:t> </w:t>
        </w:r>
        <w:r>
          <w:rPr>
            <w:i/>
            <w:color w:val="0077CC"/>
            <w:u w:val="single" w:color="0077CC"/>
          </w:rPr>
          <w:t>Ed.</w:t>
        </w:r>
        <w:r>
          <w:rPr>
            <w:i/>
            <w:color w:val="0077CC"/>
            <w:spacing w:val="22"/>
            <w:u w:val="single" w:color="0077CC"/>
          </w:rPr>
          <w:t> </w:t>
        </w:r>
        <w:r>
          <w:rPr>
            <w:i/>
            <w:color w:val="0077CC"/>
            <w:u w:val="single" w:color="0077CC"/>
          </w:rPr>
          <w:t>2d</w:t>
        </w:r>
        <w:r>
          <w:rPr>
            <w:i/>
            <w:color w:val="0077CC"/>
            <w:spacing w:val="22"/>
            <w:u w:val="single" w:color="0077CC"/>
          </w:rPr>
          <w:t> </w:t>
        </w:r>
        <w:r>
          <w:rPr>
            <w:i/>
            <w:color w:val="0077CC"/>
            <w:u w:val="single" w:color="0077CC"/>
          </w:rPr>
          <w:t>159</w:t>
        </w:r>
      </w:hyperlink>
    </w:p>
    <w:p>
      <w:pPr>
        <w:pStyle w:val="BodyText"/>
        <w:spacing w:before="1"/>
        <w:ind w:left="100"/>
        <w:jc w:val="both"/>
      </w:pPr>
      <w:r>
        <w:rPr/>
        <w:t>(concurring opinion).</w:t>
      </w:r>
    </w:p>
    <w:p>
      <w:pPr>
        <w:pStyle w:val="BodyText"/>
      </w:pPr>
    </w:p>
    <w:p>
      <w:pPr>
        <w:pStyle w:val="BodyText"/>
        <w:spacing w:line="271" w:lineRule="auto"/>
        <w:ind w:left="100" w:right="117"/>
        <w:jc w:val="both"/>
      </w:pPr>
      <w:bookmarkStart w:name="Bookmark_para_7" w:id="39"/>
      <w:bookmarkEnd w:id="39"/>
      <w:r>
        <w:rPr/>
      </w:r>
      <w:r>
        <w:rPr/>
        <w:t>The Sacketts are interested parties feeling their </w:t>
      </w:r>
      <w:r>
        <w:rPr>
          <w:spacing w:val="-4"/>
        </w:rPr>
        <w:t>way. </w:t>
      </w:r>
      <w:r>
        <w:rPr/>
        <w:t>They own a 2/3-acre residential lot in Bonner </w:t>
      </w:r>
      <w:r>
        <w:rPr>
          <w:spacing w:val="-3"/>
        </w:rPr>
        <w:t>County,</w:t>
      </w:r>
      <w:bookmarkStart w:name="Bookmark_para_5" w:id="40"/>
      <w:bookmarkEnd w:id="40"/>
      <w:r>
        <w:rPr>
          <w:spacing w:val="-3"/>
        </w:rPr>
      </w:r>
      <w:bookmarkStart w:name="Bookmark_LNHNREFclscc1" w:id="41"/>
      <w:bookmarkEnd w:id="41"/>
      <w:r>
        <w:rPr>
          <w:spacing w:val="-3"/>
        </w:rPr>
      </w:r>
      <w:bookmarkStart w:name="Bookmark_LEDHN1_1" w:id="42"/>
      <w:bookmarkEnd w:id="42"/>
      <w:r>
        <w:rPr>
          <w:spacing w:val="-3"/>
        </w:rPr>
      </w:r>
      <w:r>
        <w:rPr>
          <w:spacing w:val="-3"/>
        </w:rPr>
        <w:t> </w:t>
      </w:r>
      <w:r>
        <w:rPr/>
        <w:t>Idaho. Their </w:t>
      </w:r>
      <w:r>
        <w:rPr>
          <w:b/>
        </w:rPr>
        <w:t>[****7] </w:t>
      </w:r>
      <w:r>
        <w:rPr/>
        <w:t>property lies just north of </w:t>
      </w:r>
      <w:r>
        <w:rPr>
          <w:spacing w:val="-3"/>
        </w:rPr>
        <w:t>Priest </w:t>
      </w:r>
      <w:r>
        <w:rPr/>
        <w:t>Lake, but is separated from the lake by several</w:t>
      </w:r>
      <w:r>
        <w:rPr>
          <w:spacing w:val="36"/>
        </w:rPr>
        <w:t> </w:t>
      </w:r>
      <w:r>
        <w:rPr>
          <w:spacing w:val="-3"/>
        </w:rPr>
        <w:t>lots</w:t>
      </w:r>
    </w:p>
    <w:p>
      <w:pPr>
        <w:spacing w:after="0" w:line="271" w:lineRule="auto"/>
        <w:jc w:val="both"/>
        <w:sectPr>
          <w:type w:val="continuous"/>
          <w:pgSz w:w="12240" w:h="15840"/>
          <w:pgMar w:top="1300" w:bottom="280" w:left="900" w:right="880"/>
          <w:cols w:num="2" w:equalWidth="0">
            <w:col w:w="5141" w:space="99"/>
            <w:col w:w="5220"/>
          </w:cols>
        </w:sectPr>
      </w:pPr>
    </w:p>
    <w:p>
      <w:pPr>
        <w:pStyle w:val="BodyText"/>
        <w:tabs>
          <w:tab w:pos="5339" w:val="left" w:leader="none"/>
          <w:tab w:pos="8259" w:val="left" w:leader="none"/>
        </w:tabs>
        <w:spacing w:line="207" w:lineRule="exact"/>
        <w:ind w:left="100"/>
      </w:pPr>
      <w:r>
        <w:rPr/>
        <w:t>[1]</w:t>
      </w:r>
      <w:r>
        <w:rPr>
          <w:spacing w:val="20"/>
        </w:rPr>
        <w:t> </w:t>
      </w:r>
      <w:r>
        <w:rPr/>
        <w:t>The</w:t>
      </w:r>
      <w:r>
        <w:rPr>
          <w:spacing w:val="22"/>
        </w:rPr>
        <w:t> </w:t>
      </w:r>
      <w:r>
        <w:rPr/>
        <w:t>Clean</w:t>
      </w:r>
      <w:r>
        <w:rPr>
          <w:spacing w:val="22"/>
        </w:rPr>
        <w:t> </w:t>
      </w:r>
      <w:r>
        <w:rPr/>
        <w:t>Water</w:t>
      </w:r>
      <w:r>
        <w:rPr>
          <w:spacing w:val="21"/>
        </w:rPr>
        <w:t> </w:t>
      </w:r>
      <w:r>
        <w:rPr/>
        <w:t>Act</w:t>
      </w:r>
      <w:r>
        <w:rPr>
          <w:spacing w:val="22"/>
        </w:rPr>
        <w:t> </w:t>
      </w:r>
      <w:r>
        <w:rPr/>
        <w:t>prohibits,</w:t>
      </w:r>
      <w:r>
        <w:rPr>
          <w:spacing w:val="22"/>
        </w:rPr>
        <w:t> </w:t>
      </w:r>
      <w:r>
        <w:rPr/>
        <w:t>among</w:t>
      </w:r>
      <w:r>
        <w:rPr>
          <w:spacing w:val="22"/>
        </w:rPr>
        <w:t> </w:t>
      </w:r>
      <w:r>
        <w:rPr/>
        <w:t>other</w:t>
      </w:r>
      <w:r>
        <w:rPr>
          <w:spacing w:val="21"/>
        </w:rPr>
        <w:t> </w:t>
      </w:r>
      <w:r>
        <w:rPr/>
        <w:t>things,</w:t>
        <w:tab/>
      </w:r>
      <w:r>
        <w:rPr>
          <w:u w:val="single"/>
        </w:rPr>
        <w:t> </w:t>
        <w:tab/>
      </w:r>
    </w:p>
    <w:p>
      <w:pPr>
        <w:pStyle w:val="BodyText"/>
        <w:spacing w:before="30"/>
        <w:ind w:left="100"/>
      </w:pPr>
      <w:r>
        <w:rPr/>
        <w:t>"the discharge of any pollutant by any person," </w:t>
      </w:r>
      <w:hyperlink r:id="rId8">
        <w:r>
          <w:rPr>
            <w:i/>
            <w:color w:val="0077CC"/>
            <w:u w:val="single" w:color="0077CC"/>
          </w:rPr>
          <w:t>§ 1311</w:t>
        </w:r>
      </w:hyperlink>
      <w:r>
        <w:rPr/>
        <w:t>,</w:t>
      </w:r>
    </w:p>
    <w:p>
      <w:pPr>
        <w:spacing w:after="0"/>
        <w:sectPr>
          <w:type w:val="continuous"/>
          <w:pgSz w:w="12240" w:h="15840"/>
          <w:pgMar w:top="1300" w:bottom="280" w:left="900" w:right="880"/>
        </w:sectPr>
      </w:pPr>
    </w:p>
    <w:p>
      <w:pPr>
        <w:pStyle w:val="BodyText"/>
        <w:spacing w:line="271" w:lineRule="auto" w:before="30"/>
        <w:ind w:left="100" w:right="38"/>
        <w:jc w:val="both"/>
      </w:pPr>
      <w:r>
        <w:rPr/>
        <w:t>without a permit, into the "navigable waters," </w:t>
      </w:r>
      <w:hyperlink r:id="rId9">
        <w:r>
          <w:rPr>
            <w:i/>
            <w:color w:val="0077CC"/>
            <w:u w:val="single" w:color="0077CC"/>
          </w:rPr>
          <w:t>§ 1344</w:t>
        </w:r>
      </w:hyperlink>
      <w:r>
        <w:rPr/>
        <w:t>-- which the Act  </w:t>
      </w:r>
      <w:r>
        <w:rPr>
          <w:b/>
        </w:rPr>
        <w:t>[*123]  </w:t>
      </w:r>
      <w:r>
        <w:rPr/>
        <w:t>defines as "the waters  </w:t>
      </w:r>
      <w:r>
        <w:rPr>
          <w:b/>
        </w:rPr>
        <w:t>[**1370]  </w:t>
      </w:r>
      <w:r>
        <w:rPr/>
        <w:t>of the United States," </w:t>
      </w:r>
      <w:hyperlink r:id="rId18">
        <w:r>
          <w:rPr>
            <w:i/>
            <w:color w:val="0077CC"/>
            <w:u w:val="single" w:color="0077CC"/>
          </w:rPr>
          <w:t>§ 1362(7)</w:t>
        </w:r>
      </w:hyperlink>
      <w:r>
        <w:rPr/>
        <w:t>. If the EPA determines that any person is in violation of this restriction, the </w:t>
      </w:r>
      <w:r>
        <w:rPr>
          <w:spacing w:val="-4"/>
        </w:rPr>
        <w:t>Act </w:t>
      </w:r>
      <w:r>
        <w:rPr/>
        <w:t>directs the Agency either to issue a compliance order </w:t>
      </w:r>
      <w:r>
        <w:rPr>
          <w:spacing w:val="-9"/>
        </w:rPr>
        <w:t>or </w:t>
      </w:r>
      <w:r>
        <w:rPr/>
        <w:t>to initiate a civil enforcement action. </w:t>
      </w:r>
      <w:hyperlink r:id="rId10">
        <w:r>
          <w:rPr>
            <w:i/>
            <w:color w:val="0077CC"/>
            <w:u w:val="single" w:color="0077CC"/>
          </w:rPr>
          <w:t>§ 1319(a)(3)</w:t>
        </w:r>
      </w:hyperlink>
      <w:r>
        <w:rPr/>
        <w:t>. </w:t>
      </w:r>
      <w:r>
        <w:rPr>
          <w:spacing w:val="-4"/>
        </w:rPr>
        <w:t>When </w:t>
      </w:r>
      <w:r>
        <w:rPr/>
        <w:t>the EPA prevails in a civil action, the Act provides for </w:t>
      </w:r>
      <w:r>
        <w:rPr>
          <w:spacing w:val="-6"/>
        </w:rPr>
        <w:t>"a </w:t>
      </w:r>
      <w:r>
        <w:rPr/>
        <w:t>civil</w:t>
      </w:r>
      <w:r>
        <w:rPr>
          <w:spacing w:val="16"/>
        </w:rPr>
        <w:t> </w:t>
      </w:r>
      <w:r>
        <w:rPr>
          <w:b/>
        </w:rPr>
        <w:t>[****5] </w:t>
      </w:r>
      <w:r>
        <w:rPr/>
        <w:t>penalty</w:t>
      </w:r>
      <w:r>
        <w:rPr>
          <w:spacing w:val="17"/>
        </w:rPr>
        <w:t> </w:t>
      </w:r>
      <w:r>
        <w:rPr/>
        <w:t>not</w:t>
      </w:r>
      <w:r>
        <w:rPr>
          <w:spacing w:val="17"/>
        </w:rPr>
        <w:t> </w:t>
      </w:r>
      <w:r>
        <w:rPr/>
        <w:t>to</w:t>
      </w:r>
      <w:r>
        <w:rPr>
          <w:spacing w:val="16"/>
        </w:rPr>
        <w:t> </w:t>
      </w:r>
      <w:r>
        <w:rPr/>
        <w:t>exceed</w:t>
      </w:r>
      <w:r>
        <w:rPr>
          <w:spacing w:val="17"/>
        </w:rPr>
        <w:t> </w:t>
      </w:r>
      <w:r>
        <w:rPr/>
        <w:t>[$37,500]</w:t>
      </w:r>
      <w:r>
        <w:rPr>
          <w:spacing w:val="17"/>
        </w:rPr>
        <w:t> </w:t>
      </w:r>
      <w:r>
        <w:rPr/>
        <w:t>per</w:t>
      </w:r>
      <w:r>
        <w:rPr>
          <w:spacing w:val="17"/>
        </w:rPr>
        <w:t> </w:t>
      </w:r>
      <w:r>
        <w:rPr/>
        <w:t>day</w:t>
      </w:r>
      <w:r>
        <w:rPr>
          <w:spacing w:val="17"/>
        </w:rPr>
        <w:t> </w:t>
      </w:r>
      <w:r>
        <w:rPr/>
        <w:t>for</w:t>
      </w:r>
    </w:p>
    <w:p>
      <w:pPr>
        <w:spacing w:line="278" w:lineRule="auto" w:before="59"/>
        <w:ind w:left="100" w:right="117" w:firstLine="0"/>
        <w:jc w:val="both"/>
        <w:rPr>
          <w:sz w:val="18"/>
        </w:rPr>
      </w:pPr>
      <w:r>
        <w:rPr/>
        <w:br w:type="column"/>
      </w:r>
      <w:r>
        <w:rPr>
          <w:position w:val="5"/>
          <w:sz w:val="12"/>
        </w:rPr>
        <w:t>1</w:t>
      </w:r>
      <w:bookmarkStart w:name="Bookmark_fnpara_1" w:id="43"/>
      <w:bookmarkEnd w:id="43"/>
      <w:r>
        <w:rPr>
          <w:position w:val="5"/>
          <w:sz w:val="12"/>
        </w:rPr>
      </w:r>
      <w:bookmarkStart w:name="Bookmark_I55CG8J42D6NV60020000400" w:id="44"/>
      <w:bookmarkEnd w:id="44"/>
      <w:r>
        <w:rPr>
          <w:position w:val="5"/>
          <w:sz w:val="12"/>
        </w:rPr>
      </w:r>
      <w:r>
        <w:rPr>
          <w:position w:val="5"/>
          <w:sz w:val="12"/>
        </w:rPr>
        <w:t> </w:t>
      </w:r>
      <w:r>
        <w:rPr>
          <w:sz w:val="18"/>
        </w:rPr>
        <w:t>The original statute set a penalty cap of $25,000 per violation per day. The Federal Civil Penalties Inflation Adjustment Act of 1990, </w:t>
      </w:r>
      <w:r>
        <w:rPr>
          <w:b/>
          <w:i/>
          <w:sz w:val="18"/>
        </w:rPr>
        <w:t>104 Stat. 890</w:t>
      </w:r>
      <w:r>
        <w:rPr>
          <w:sz w:val="18"/>
        </w:rPr>
        <w:t>, note following </w:t>
      </w:r>
      <w:hyperlink r:id="rId19">
        <w:r>
          <w:rPr>
            <w:i/>
            <w:color w:val="0077CC"/>
            <w:sz w:val="18"/>
            <w:u w:val="single" w:color="0077CC"/>
          </w:rPr>
          <w:t>28 U. S. C. § 2461</w:t>
        </w:r>
      </w:hyperlink>
      <w:r>
        <w:rPr>
          <w:sz w:val="18"/>
        </w:rPr>
        <w:t>, as amended by the Debt Collection Improvement Act of 1996, </w:t>
      </w:r>
      <w:hyperlink r:id="rId20">
        <w:r>
          <w:rPr>
            <w:i/>
            <w:color w:val="0077CC"/>
            <w:sz w:val="18"/>
            <w:u w:val="single" w:color="0077CC"/>
          </w:rPr>
          <w:t>§</w:t>
        </w:r>
      </w:hyperlink>
      <w:r>
        <w:rPr>
          <w:i/>
          <w:color w:val="0077CC"/>
          <w:sz w:val="18"/>
        </w:rPr>
        <w:t> </w:t>
      </w:r>
      <w:hyperlink r:id="rId20">
        <w:r>
          <w:rPr>
            <w:i/>
            <w:color w:val="0077CC"/>
            <w:sz w:val="18"/>
            <w:u w:val="single" w:color="0077CC"/>
          </w:rPr>
          <w:t>3720E</w:t>
        </w:r>
      </w:hyperlink>
      <w:r>
        <w:rPr>
          <w:sz w:val="18"/>
        </w:rPr>
        <w:t>, </w:t>
      </w:r>
      <w:r>
        <w:rPr>
          <w:b/>
          <w:i/>
          <w:sz w:val="18"/>
        </w:rPr>
        <w:t>110 Stat. 1321-373</w:t>
      </w:r>
      <w:r>
        <w:rPr>
          <w:sz w:val="18"/>
        </w:rPr>
        <w:t>, note following </w:t>
      </w:r>
      <w:hyperlink r:id="rId19">
        <w:r>
          <w:rPr>
            <w:i/>
            <w:color w:val="0077CC"/>
            <w:sz w:val="18"/>
            <w:u w:val="single" w:color="0077CC"/>
          </w:rPr>
          <w:t>28 U. S. C. § 2461</w:t>
        </w:r>
      </w:hyperlink>
      <w:r>
        <w:rPr>
          <w:sz w:val="18"/>
        </w:rPr>
        <w:t>,</w:t>
      </w:r>
    </w:p>
    <w:p>
      <w:pPr>
        <w:spacing w:line="278" w:lineRule="auto" w:before="0"/>
        <w:ind w:left="100" w:right="117" w:firstLine="0"/>
        <w:jc w:val="both"/>
        <w:rPr>
          <w:sz w:val="18"/>
        </w:rPr>
      </w:pPr>
      <w:r>
        <w:rPr>
          <w:sz w:val="18"/>
        </w:rPr>
        <w:t>p. 1314 (Amendment), authorizes the EPA to adjust that maximum penalty for inflation. On the basis of that authority, the Agency has raised the cap to $37,500. See</w:t>
      </w:r>
      <w:bookmarkStart w:name="Bookmark_I55CG8J42D6NV60010000400" w:id="45"/>
      <w:bookmarkEnd w:id="45"/>
      <w:r>
        <w:rPr>
          <w:sz w:val="18"/>
        </w:rPr>
      </w:r>
      <w:r>
        <w:rPr>
          <w:color w:val="0077CC"/>
          <w:sz w:val="18"/>
        </w:rPr>
        <w:t> </w:t>
      </w:r>
      <w:hyperlink r:id="rId21">
        <w:r>
          <w:rPr>
            <w:i/>
            <w:color w:val="0077CC"/>
            <w:sz w:val="18"/>
            <w:u w:val="single" w:color="0077CC"/>
          </w:rPr>
          <w:t>74 Fed. Reg.</w:t>
        </w:r>
      </w:hyperlink>
      <w:hyperlink r:id="rId21">
        <w:r>
          <w:rPr>
            <w:i/>
            <w:color w:val="0077CC"/>
            <w:sz w:val="18"/>
            <w:u w:val="single" w:color="0077CC"/>
          </w:rPr>
          <w:t> </w:t>
        </w:r>
        <w:r>
          <w:rPr>
            <w:i/>
            <w:color w:val="0077CC"/>
            <w:sz w:val="18"/>
            <w:u w:val="single" w:color="0077CC"/>
          </w:rPr>
          <w:t>626, 627 (2009)</w:t>
        </w:r>
      </w:hyperlink>
      <w:r>
        <w:rPr>
          <w:sz w:val="18"/>
        </w:rPr>
        <w:t>.</w:t>
      </w:r>
    </w:p>
    <w:p>
      <w:pPr>
        <w:spacing w:after="0" w:line="278" w:lineRule="auto"/>
        <w:jc w:val="both"/>
        <w:rPr>
          <w:sz w:val="18"/>
        </w:rPr>
        <w:sectPr>
          <w:type w:val="continuous"/>
          <w:pgSz w:w="12240" w:h="15840"/>
          <w:pgMar w:top="1300" w:bottom="280" w:left="900" w:right="880"/>
          <w:cols w:num="2" w:equalWidth="0">
            <w:col w:w="5141" w:space="99"/>
            <w:col w:w="5220"/>
          </w:cols>
        </w:sectPr>
      </w:pPr>
    </w:p>
    <w:p>
      <w:pPr>
        <w:pStyle w:val="BodyText"/>
        <w:spacing w:before="40"/>
        <w:ind w:left="755"/>
      </w:pPr>
      <w:r>
        <w:rPr/>
        <w:t>566 U.S. 120, *124; 132 S. Ct. 1367, **1370; 182 L. Ed. 2d 367, ***372; 2012 U.S. LEXIS 2320, ****7</w:t>
      </w:r>
    </w:p>
    <w:p>
      <w:pPr>
        <w:pStyle w:val="BodyText"/>
        <w:spacing w:before="7"/>
        <w:rPr>
          <w:sz w:val="17"/>
        </w:rPr>
      </w:pPr>
    </w:p>
    <w:p>
      <w:pPr>
        <w:spacing w:after="0"/>
        <w:rPr>
          <w:sz w:val="17"/>
        </w:rPr>
        <w:sectPr>
          <w:headerReference w:type="default" r:id="rId22"/>
          <w:pgSz w:w="12240" w:h="15840"/>
          <w:pgMar w:header="407" w:footer="0" w:top="620" w:bottom="280" w:left="900" w:right="880"/>
        </w:sectPr>
      </w:pPr>
    </w:p>
    <w:p>
      <w:pPr>
        <w:pStyle w:val="BodyText"/>
        <w:spacing w:line="271" w:lineRule="auto" w:before="93"/>
        <w:ind w:left="100" w:right="38"/>
        <w:jc w:val="both"/>
      </w:pPr>
      <w:r>
        <w:rPr/>
        <w:t>containing permanent structures. In preparation </w:t>
      </w:r>
      <w:r>
        <w:rPr>
          <w:spacing w:val="-5"/>
        </w:rPr>
        <w:t>for </w:t>
      </w:r>
      <w:r>
        <w:rPr/>
        <w:t>constructing a house, the Sacketts filled in part of </w:t>
      </w:r>
      <w:r>
        <w:rPr>
          <w:spacing w:val="-3"/>
        </w:rPr>
        <w:t>their </w:t>
      </w:r>
      <w:r>
        <w:rPr/>
        <w:t>lot with dirt and </w:t>
      </w:r>
      <w:r>
        <w:rPr>
          <w:b/>
        </w:rPr>
        <w:t>[***373] </w:t>
      </w:r>
      <w:r>
        <w:rPr/>
        <w:t>rock. Some months later, </w:t>
      </w:r>
      <w:r>
        <w:rPr>
          <w:spacing w:val="-4"/>
        </w:rPr>
        <w:t>they </w:t>
      </w:r>
      <w:r>
        <w:rPr/>
        <w:t>received from the EPA a compliance order. The </w:t>
      </w:r>
      <w:r>
        <w:rPr>
          <w:spacing w:val="-3"/>
        </w:rPr>
        <w:t>order </w:t>
      </w:r>
      <w:r>
        <w:rPr/>
        <w:t>contained a number of "Findings and </w:t>
      </w:r>
      <w:r>
        <w:rPr>
          <w:spacing w:val="-2"/>
        </w:rPr>
        <w:t>Conclusions," </w:t>
      </w:r>
      <w:r>
        <w:rPr/>
        <w:t>including the following:</w:t>
      </w:r>
    </w:p>
    <w:p>
      <w:pPr>
        <w:pStyle w:val="BodyText"/>
        <w:spacing w:before="11"/>
      </w:pPr>
    </w:p>
    <w:p>
      <w:pPr>
        <w:pStyle w:val="BodyText"/>
        <w:spacing w:line="271" w:lineRule="auto"/>
        <w:ind w:left="500" w:right="38"/>
        <w:jc w:val="both"/>
      </w:pPr>
      <w:bookmarkStart w:name="Bookmark_para_8" w:id="46"/>
      <w:bookmarkEnd w:id="46"/>
      <w:r>
        <w:rPr/>
      </w:r>
      <w:r>
        <w:rPr/>
        <w:t>"1.4 [The Sacketts' property] contains wetlands within the meaning of </w:t>
      </w:r>
      <w:hyperlink r:id="rId23">
        <w:r>
          <w:rPr>
            <w:i/>
            <w:color w:val="0077CC"/>
            <w:u w:val="single" w:color="0077CC"/>
          </w:rPr>
          <w:t>33 C. F. R. § 328.3(b)</w:t>
        </w:r>
      </w:hyperlink>
      <w:r>
        <w:rPr/>
        <w:t>; </w:t>
      </w:r>
      <w:r>
        <w:rPr>
          <w:spacing w:val="-4"/>
        </w:rPr>
        <w:t>the </w:t>
      </w:r>
      <w:r>
        <w:rPr/>
        <w:t>wetlands meet the criteria for jurisdictional wetlands in the 1987 'Federal Manual for Identifying </w:t>
      </w:r>
      <w:r>
        <w:rPr>
          <w:spacing w:val="-6"/>
        </w:rPr>
        <w:t>and </w:t>
      </w:r>
      <w:r>
        <w:rPr/>
        <w:t>Delineating Jurisdictional Wetlands.'</w:t>
      </w:r>
    </w:p>
    <w:p>
      <w:pPr>
        <w:pStyle w:val="BodyText"/>
        <w:spacing w:before="10"/>
      </w:pPr>
    </w:p>
    <w:p>
      <w:pPr>
        <w:spacing w:line="271" w:lineRule="auto" w:before="1"/>
        <w:ind w:left="500" w:right="38" w:firstLine="0"/>
        <w:jc w:val="both"/>
        <w:rPr>
          <w:sz w:val="20"/>
        </w:rPr>
      </w:pPr>
      <w:bookmarkStart w:name="Bookmark_para_9" w:id="47"/>
      <w:bookmarkEnd w:id="47"/>
      <w:r>
        <w:rPr/>
      </w:r>
      <w:r>
        <w:rPr>
          <w:sz w:val="20"/>
        </w:rPr>
        <w:t>"1.5 The Site's wetlands are adjacent to Priest </w:t>
      </w:r>
      <w:r>
        <w:rPr>
          <w:spacing w:val="-5"/>
          <w:sz w:val="20"/>
        </w:rPr>
        <w:t>Lake </w:t>
      </w:r>
      <w:r>
        <w:rPr>
          <w:sz w:val="20"/>
        </w:rPr>
        <w:t>within the meaning of </w:t>
      </w:r>
      <w:hyperlink r:id="rId23">
        <w:r>
          <w:rPr>
            <w:i/>
            <w:color w:val="0077CC"/>
            <w:sz w:val="20"/>
            <w:u w:val="single" w:color="0077CC"/>
          </w:rPr>
          <w:t>33 C. F. R. § 328.3(c)</w:t>
        </w:r>
      </w:hyperlink>
      <w:r>
        <w:rPr>
          <w:sz w:val="20"/>
        </w:rPr>
        <w:t>. Priest Lake is a 'navigable water' within the meaning </w:t>
      </w:r>
      <w:r>
        <w:rPr>
          <w:spacing w:val="-7"/>
          <w:sz w:val="20"/>
        </w:rPr>
        <w:t>of </w:t>
      </w:r>
      <w:r>
        <w:rPr>
          <w:sz w:val="20"/>
        </w:rPr>
        <w:t>section 502(7) of the Act, </w:t>
      </w:r>
      <w:hyperlink r:id="rId18">
        <w:r>
          <w:rPr>
            <w:i/>
            <w:color w:val="0077CC"/>
            <w:sz w:val="20"/>
            <w:u w:val="single" w:color="0077CC"/>
          </w:rPr>
          <w:t>33 U. S. C. § 1362(7)</w:t>
        </w:r>
      </w:hyperlink>
      <w:r>
        <w:rPr>
          <w:sz w:val="20"/>
        </w:rPr>
        <w:t>, and 'waters of the United </w:t>
      </w:r>
      <w:r>
        <w:rPr>
          <w:b/>
          <w:sz w:val="20"/>
        </w:rPr>
        <w:t>[**1371]  </w:t>
      </w:r>
      <w:r>
        <w:rPr>
          <w:sz w:val="20"/>
        </w:rPr>
        <w:t>States' </w:t>
      </w:r>
      <w:r>
        <w:rPr>
          <w:spacing w:val="-3"/>
          <w:sz w:val="20"/>
        </w:rPr>
        <w:t>within  </w:t>
      </w:r>
      <w:r>
        <w:rPr>
          <w:sz w:val="20"/>
        </w:rPr>
        <w:t>the meaning of </w:t>
      </w:r>
      <w:hyperlink r:id="rId24">
        <w:r>
          <w:rPr>
            <w:i/>
            <w:color w:val="0077CC"/>
            <w:sz w:val="20"/>
            <w:u w:val="single" w:color="0077CC"/>
          </w:rPr>
          <w:t>40 C. F. R. §</w:t>
        </w:r>
        <w:r>
          <w:rPr>
            <w:i/>
            <w:color w:val="0077CC"/>
            <w:spacing w:val="-4"/>
            <w:sz w:val="20"/>
            <w:u w:val="single" w:color="0077CC"/>
          </w:rPr>
          <w:t> </w:t>
        </w:r>
        <w:r>
          <w:rPr>
            <w:i/>
            <w:color w:val="0077CC"/>
            <w:sz w:val="20"/>
            <w:u w:val="single" w:color="0077CC"/>
          </w:rPr>
          <w:t>232.2</w:t>
        </w:r>
      </w:hyperlink>
      <w:r>
        <w:rPr>
          <w:sz w:val="20"/>
        </w:rPr>
        <w:t>.</w:t>
      </w:r>
    </w:p>
    <w:p>
      <w:pPr>
        <w:pStyle w:val="BodyText"/>
        <w:spacing w:line="271" w:lineRule="auto"/>
        <w:ind w:left="500" w:right="38"/>
        <w:jc w:val="both"/>
      </w:pPr>
      <w:bookmarkStart w:name="Bookmark_para_10" w:id="48"/>
      <w:bookmarkEnd w:id="48"/>
      <w:r>
        <w:rPr/>
      </w:r>
      <w:r>
        <w:rPr/>
        <w:t>1.6 In April and May, 2007, at times more </w:t>
      </w:r>
      <w:r>
        <w:rPr>
          <w:spacing w:val="-3"/>
        </w:rPr>
        <w:t>fully </w:t>
      </w:r>
      <w:r>
        <w:rPr/>
        <w:t>known to [the Sacketts, they] and/or persons </w:t>
      </w:r>
      <w:r>
        <w:rPr>
          <w:spacing w:val="-3"/>
        </w:rPr>
        <w:t>acting </w:t>
      </w:r>
      <w:r>
        <w:rPr/>
        <w:t>on their behalf discharged fill material into </w:t>
      </w:r>
      <w:r>
        <w:rPr>
          <w:spacing w:val="-3"/>
        </w:rPr>
        <w:t>wetlands </w:t>
      </w:r>
      <w:r>
        <w:rPr/>
        <w:t>at the Site. [They] filled approximately one </w:t>
      </w:r>
      <w:r>
        <w:rPr>
          <w:spacing w:val="-4"/>
        </w:rPr>
        <w:t>half  </w:t>
      </w:r>
      <w:r>
        <w:rPr/>
        <w:t>acre.</w:t>
      </w:r>
    </w:p>
    <w:p>
      <w:pPr>
        <w:pStyle w:val="BodyText"/>
        <w:spacing w:before="1"/>
        <w:ind w:left="500"/>
        <w:jc w:val="both"/>
      </w:pPr>
      <w:bookmarkStart w:name="Bookmark_para_11" w:id="49"/>
      <w:bookmarkEnd w:id="49"/>
      <w:r>
        <w:rPr/>
      </w:r>
      <w:r>
        <w:rPr/>
        <w:t>. . . . .</w:t>
      </w:r>
    </w:p>
    <w:p>
      <w:pPr>
        <w:pStyle w:val="BodyText"/>
        <w:spacing w:before="5"/>
        <w:rPr>
          <w:sz w:val="23"/>
        </w:rPr>
      </w:pPr>
    </w:p>
    <w:p>
      <w:pPr>
        <w:pStyle w:val="BodyText"/>
        <w:spacing w:line="271" w:lineRule="auto" w:before="1"/>
        <w:ind w:left="500" w:right="38"/>
        <w:jc w:val="both"/>
      </w:pPr>
      <w:bookmarkStart w:name="Bookmark_para_12" w:id="50"/>
      <w:bookmarkEnd w:id="50"/>
      <w:r>
        <w:rPr/>
      </w:r>
      <w:r>
        <w:rPr/>
        <w:t>"1.9 By causing such fill material to enter waters of the United States, [the Sacketts] </w:t>
      </w:r>
      <w:r>
        <w:rPr>
          <w:b/>
        </w:rPr>
        <w:t>[****8] </w:t>
      </w:r>
      <w:r>
        <w:rPr/>
        <w:t>have engaged, and are continuing to engage, in the 'discharge of pollutants' from a </w:t>
      </w:r>
      <w:r>
        <w:rPr>
          <w:b/>
        </w:rPr>
        <w:t>[*125] </w:t>
      </w:r>
      <w:r>
        <w:rPr/>
        <w:t>point source within the meaning of sections 301 and 502(12) of the Act, </w:t>
      </w:r>
      <w:hyperlink r:id="rId8">
        <w:r>
          <w:rPr>
            <w:i/>
            <w:color w:val="0077CC"/>
            <w:u w:val="single" w:color="0077CC"/>
          </w:rPr>
          <w:t>33 U. S. C. §§ 1311</w:t>
        </w:r>
      </w:hyperlink>
      <w:r>
        <w:rPr>
          <w:i/>
          <w:color w:val="0077CC"/>
        </w:rPr>
        <w:t> </w:t>
      </w:r>
      <w:r>
        <w:rPr/>
        <w:t>and </w:t>
      </w:r>
      <w:hyperlink r:id="rId18">
        <w:r>
          <w:rPr>
            <w:i/>
            <w:color w:val="0077CC"/>
            <w:u w:val="single" w:color="0077CC"/>
          </w:rPr>
          <w:t>1362(12)</w:t>
        </w:r>
      </w:hyperlink>
      <w:r>
        <w:rPr/>
        <w:t>.</w:t>
      </w:r>
    </w:p>
    <w:p>
      <w:pPr>
        <w:pStyle w:val="BodyText"/>
        <w:ind w:left="500"/>
        <w:jc w:val="both"/>
      </w:pPr>
      <w:bookmarkStart w:name="Bookmark_para_13" w:id="51"/>
      <w:bookmarkEnd w:id="51"/>
      <w:r>
        <w:rPr/>
      </w:r>
      <w:r>
        <w:rPr/>
        <w:t>. . . . .</w:t>
      </w:r>
    </w:p>
    <w:p>
      <w:pPr>
        <w:pStyle w:val="BodyText"/>
        <w:spacing w:before="6"/>
        <w:rPr>
          <w:sz w:val="23"/>
        </w:rPr>
      </w:pPr>
    </w:p>
    <w:p>
      <w:pPr>
        <w:pStyle w:val="BodyText"/>
        <w:spacing w:line="271" w:lineRule="auto"/>
        <w:ind w:left="500" w:right="38"/>
        <w:jc w:val="both"/>
      </w:pPr>
      <w:bookmarkStart w:name="Bookmark_para_14" w:id="52"/>
      <w:bookmarkEnd w:id="52"/>
      <w:r>
        <w:rPr/>
      </w:r>
      <w:r>
        <w:rPr/>
        <w:t>"1.11 [The Sacketts'] discharge of pollutants into waters of the United States at the Site without [a] permit constitutes a violation of section 301 of the Act, </w:t>
      </w:r>
      <w:hyperlink r:id="rId8">
        <w:r>
          <w:rPr>
            <w:i/>
            <w:color w:val="0077CC"/>
            <w:u w:val="single" w:color="0077CC"/>
          </w:rPr>
          <w:t>33 U. S. C. § 1311</w:t>
        </w:r>
      </w:hyperlink>
      <w:r>
        <w:rPr/>
        <w:t>." App. 19-20.</w:t>
      </w:r>
    </w:p>
    <w:p>
      <w:pPr>
        <w:pStyle w:val="BodyText"/>
        <w:spacing w:before="5"/>
        <w:rPr>
          <w:sz w:val="17"/>
        </w:rPr>
      </w:pPr>
    </w:p>
    <w:p>
      <w:pPr>
        <w:pStyle w:val="BodyText"/>
        <w:spacing w:line="271" w:lineRule="auto"/>
        <w:ind w:left="100" w:right="38"/>
        <w:jc w:val="both"/>
      </w:pPr>
      <w:r>
        <w:rPr/>
        <w:t>On the basis of these findings and conclusions, </w:t>
      </w:r>
      <w:r>
        <w:rPr>
          <w:spacing w:val="-5"/>
        </w:rPr>
        <w:t>the </w:t>
      </w:r>
      <w:r>
        <w:rPr/>
        <w:t>order directs the Sacketts, among other </w:t>
      </w:r>
      <w:r>
        <w:rPr>
          <w:spacing w:val="-3"/>
        </w:rPr>
        <w:t>things, </w:t>
      </w:r>
      <w:r>
        <w:rPr/>
        <w:t>"immediately [to] undertake activities to restore the </w:t>
      </w:r>
      <w:r>
        <w:rPr>
          <w:spacing w:val="-4"/>
        </w:rPr>
        <w:t>Site, </w:t>
      </w:r>
      <w:r>
        <w:rPr/>
        <w:t>in accordance with [an EPA-created] Restoration </w:t>
      </w:r>
      <w:r>
        <w:rPr>
          <w:spacing w:val="-5"/>
        </w:rPr>
        <w:t>Work </w:t>
      </w:r>
      <w:r>
        <w:rPr/>
        <w:t>Plan" and to "provide and/or obtain access to the Site .</w:t>
      </w:r>
      <w:r>
        <w:rPr>
          <w:spacing w:val="53"/>
        </w:rPr>
        <w:t> </w:t>
      </w:r>
      <w:r>
        <w:rPr>
          <w:spacing w:val="-16"/>
        </w:rPr>
        <w:t>.</w:t>
      </w:r>
    </w:p>
    <w:p>
      <w:pPr>
        <w:pStyle w:val="BodyText"/>
        <w:spacing w:line="271" w:lineRule="auto"/>
        <w:ind w:left="100" w:right="38"/>
        <w:jc w:val="both"/>
      </w:pPr>
      <w:r>
        <w:rPr/>
        <w:t>. [and] access to all records and documentation related to the conditions at the Site . . . to EPA employees and/or their designated representatives." </w:t>
      </w:r>
      <w:r>
        <w:rPr>
          <w:i/>
        </w:rPr>
        <w:t>Id.</w:t>
      </w:r>
      <w:r>
        <w:rPr/>
        <w:t>, at 21-22, PP 2.1, 2.7.</w:t>
      </w:r>
    </w:p>
    <w:p>
      <w:pPr>
        <w:pStyle w:val="BodyText"/>
        <w:spacing w:before="11"/>
      </w:pPr>
    </w:p>
    <w:p>
      <w:pPr>
        <w:pStyle w:val="BodyText"/>
        <w:spacing w:line="271" w:lineRule="auto"/>
        <w:ind w:left="100" w:right="38"/>
        <w:jc w:val="both"/>
      </w:pPr>
      <w:bookmarkStart w:name="Bookmark_para_15" w:id="53"/>
      <w:bookmarkEnd w:id="53"/>
      <w:r>
        <w:rPr/>
      </w:r>
      <w:r>
        <w:rPr/>
        <w:t>The Sacketts, who do not believe that their property is subject to the Act, asked the EPA for a hearing, but that request was denied. </w:t>
      </w:r>
      <w:bookmarkStart w:name="Bookmark_I55CG8J42N1RJ60010000400" w:id="54"/>
      <w:bookmarkEnd w:id="54"/>
      <w:r>
        <w:rPr/>
        <w:t>They</w:t>
      </w:r>
      <w:r>
        <w:rPr/>
        <w:t> then brought this action in the United States District Court for the District of Idaho,</w:t>
      </w:r>
    </w:p>
    <w:p>
      <w:pPr>
        <w:pStyle w:val="BodyText"/>
        <w:spacing w:line="271" w:lineRule="auto" w:before="93"/>
        <w:ind w:left="100" w:right="117"/>
        <w:jc w:val="both"/>
        <w:rPr>
          <w:i/>
        </w:rPr>
      </w:pPr>
      <w:r>
        <w:rPr/>
        <w:br w:type="column"/>
      </w:r>
      <w:r>
        <w:rPr/>
        <w:t>seeking declaratory and injunctive relief. </w:t>
      </w:r>
      <w:bookmarkStart w:name="Bookmark_I55CG8J42N1RJ60030000400" w:id="55"/>
      <w:bookmarkEnd w:id="55"/>
      <w:r>
        <w:rPr/>
        <w:t>Their</w:t>
      </w:r>
      <w:r>
        <w:rPr/>
        <w:t> complaint contended that the EPA's issuance of the compliance order was "arbitrary [and] </w:t>
      </w:r>
      <w:r>
        <w:rPr>
          <w:b/>
        </w:rPr>
        <w:t>[****9] </w:t>
      </w:r>
      <w:r>
        <w:rPr/>
        <w:t>capricious" under </w:t>
      </w:r>
      <w:r>
        <w:rPr>
          <w:spacing w:val="-5"/>
        </w:rPr>
        <w:t>the </w:t>
      </w:r>
      <w:r>
        <w:rPr/>
        <w:t>Administrative Procedure Act (APA), </w:t>
      </w:r>
      <w:r>
        <w:rPr>
          <w:i/>
        </w:rPr>
        <w:t>5 U. S. C. § </w:t>
      </w:r>
      <w:r>
        <w:rPr>
          <w:i/>
        </w:rPr>
        <w:t>706(2)(A)</w:t>
      </w:r>
      <w:r>
        <w:rPr/>
        <w:t>, and that it deprived them of "life, liberty, </w:t>
      </w:r>
      <w:r>
        <w:rPr>
          <w:spacing w:val="-7"/>
        </w:rPr>
        <w:t>or </w:t>
      </w:r>
      <w:r>
        <w:rPr/>
        <w:t>property, without due process of law," in violation of the </w:t>
      </w:r>
      <w:r>
        <w:rPr>
          <w:i/>
        </w:rPr>
        <w:t>Fifth Amendment</w:t>
      </w:r>
      <w:r>
        <w:rPr/>
        <w:t>. The District Court dismissed </w:t>
      </w:r>
      <w:r>
        <w:rPr>
          <w:spacing w:val="-5"/>
        </w:rPr>
        <w:t>the </w:t>
      </w:r>
      <w:r>
        <w:rPr/>
        <w:t>claims for want of subject-matter jurisdiction, and </w:t>
      </w:r>
      <w:r>
        <w:rPr>
          <w:spacing w:val="-6"/>
        </w:rPr>
        <w:t>the </w:t>
      </w:r>
      <w:r>
        <w:rPr/>
        <w:t>United States Court of Appeals for the Ninth Circuit affirmed,</w:t>
      </w:r>
      <w:bookmarkStart w:name="Bookmark_I55CG8J428T4JV0050000400" w:id="56"/>
      <w:bookmarkEnd w:id="56"/>
      <w:r>
        <w:rPr/>
      </w:r>
      <w:r>
        <w:rPr/>
        <w:t> </w:t>
      </w:r>
      <w:hyperlink r:id="rId7">
        <w:r>
          <w:rPr>
            <w:i/>
            <w:color w:val="0077CC"/>
            <w:u w:val="single" w:color="0077CC"/>
          </w:rPr>
          <w:t>622 F.3d 1139 (2010)</w:t>
        </w:r>
      </w:hyperlink>
      <w:r>
        <w:rPr/>
        <w:t>. </w:t>
      </w:r>
      <w:bookmarkStart w:name="Bookmark_I55CG8J42N1RJ60030000400_2" w:id="57"/>
      <w:bookmarkEnd w:id="57"/>
      <w:r>
        <w:rPr/>
        <w:t>It</w:t>
      </w:r>
      <w:r>
        <w:rPr/>
        <w:t> concluded that </w:t>
      </w:r>
      <w:r>
        <w:rPr>
          <w:spacing w:val="-4"/>
        </w:rPr>
        <w:t>the</w:t>
      </w:r>
      <w:r>
        <w:rPr>
          <w:spacing w:val="47"/>
        </w:rPr>
        <w:t> </w:t>
      </w:r>
      <w:r>
        <w:rPr/>
        <w:t>Act "preclude[s] pre-enforcement judicial review </w:t>
      </w:r>
      <w:r>
        <w:rPr>
          <w:spacing w:val="-7"/>
        </w:rPr>
        <w:t>of </w:t>
      </w:r>
      <w:r>
        <w:rPr/>
        <w:t>compliance orders,"</w:t>
      </w:r>
      <w:bookmarkStart w:name="Bookmark_I55CG8J42N1RJ60020000400" w:id="58"/>
      <w:bookmarkEnd w:id="58"/>
      <w:r>
        <w:rPr/>
      </w:r>
      <w:r>
        <w:rPr/>
        <w:t> </w:t>
      </w:r>
      <w:hyperlink r:id="rId7">
        <w:r>
          <w:rPr>
            <w:i/>
            <w:color w:val="0077CC"/>
            <w:u w:val="single" w:color="0077CC"/>
          </w:rPr>
          <w:t>id., at 1144</w:t>
        </w:r>
      </w:hyperlink>
      <w:r>
        <w:rPr/>
        <w:t>, and that </w:t>
      </w:r>
      <w:r>
        <w:rPr>
          <w:spacing w:val="-3"/>
        </w:rPr>
        <w:t>such </w:t>
      </w:r>
      <w:r>
        <w:rPr/>
        <w:t>preclusion does not violate the </w:t>
      </w:r>
      <w:r>
        <w:rPr>
          <w:i/>
        </w:rPr>
        <w:t>Fifth Amendment's </w:t>
      </w:r>
      <w:r>
        <w:rPr>
          <w:spacing w:val="-5"/>
        </w:rPr>
        <w:t>due </w:t>
      </w:r>
      <w:r>
        <w:rPr/>
        <w:t>process guarantee,</w:t>
      </w:r>
      <w:bookmarkStart w:name="Bookmark_I55CG8J42N1RJ60040000400" w:id="59"/>
      <w:bookmarkEnd w:id="59"/>
      <w:r>
        <w:rPr/>
      </w:r>
      <w:r>
        <w:rPr/>
        <w:t> </w:t>
      </w:r>
      <w:hyperlink r:id="rId7">
        <w:r>
          <w:rPr>
            <w:i/>
            <w:color w:val="0077CC"/>
            <w:u w:val="single" w:color="0077CC"/>
          </w:rPr>
          <w:t>id., at 1147</w:t>
        </w:r>
      </w:hyperlink>
      <w:r>
        <w:rPr/>
        <w:t>. We granted </w:t>
      </w:r>
      <w:r>
        <w:rPr>
          <w:spacing w:val="-3"/>
        </w:rPr>
        <w:t>certiorari. </w:t>
      </w:r>
      <w:r>
        <w:rPr>
          <w:i/>
        </w:rPr>
        <w:t>564</w:t>
      </w:r>
      <w:r>
        <w:rPr>
          <w:i/>
          <w:spacing w:val="35"/>
        </w:rPr>
        <w:t> </w:t>
      </w:r>
      <w:r>
        <w:rPr>
          <w:i/>
        </w:rPr>
        <w:t>U.S.</w:t>
      </w:r>
      <w:r>
        <w:rPr>
          <w:i/>
          <w:spacing w:val="36"/>
        </w:rPr>
        <w:t> </w:t>
      </w:r>
      <w:r>
        <w:rPr>
          <w:i/>
        </w:rPr>
        <w:t>1052,</w:t>
      </w:r>
      <w:r>
        <w:rPr>
          <w:i/>
          <w:spacing w:val="35"/>
        </w:rPr>
        <w:t> </w:t>
      </w:r>
      <w:r>
        <w:rPr>
          <w:i/>
        </w:rPr>
        <w:t>131</w:t>
      </w:r>
      <w:r>
        <w:rPr>
          <w:i/>
          <w:spacing w:val="36"/>
        </w:rPr>
        <w:t> </w:t>
      </w:r>
      <w:r>
        <w:rPr>
          <w:i/>
        </w:rPr>
        <w:t>S.</w:t>
      </w:r>
      <w:r>
        <w:rPr>
          <w:i/>
          <w:spacing w:val="35"/>
        </w:rPr>
        <w:t> </w:t>
      </w:r>
      <w:r>
        <w:rPr>
          <w:i/>
        </w:rPr>
        <w:t>Ct.</w:t>
      </w:r>
      <w:r>
        <w:rPr>
          <w:i/>
          <w:spacing w:val="36"/>
        </w:rPr>
        <w:t> </w:t>
      </w:r>
      <w:r>
        <w:rPr>
          <w:i/>
        </w:rPr>
        <w:t>3092,</w:t>
      </w:r>
      <w:r>
        <w:rPr>
          <w:i/>
          <w:spacing w:val="35"/>
        </w:rPr>
        <w:t> </w:t>
      </w:r>
      <w:r>
        <w:rPr>
          <w:i/>
        </w:rPr>
        <w:t>180</w:t>
      </w:r>
      <w:r>
        <w:rPr>
          <w:i/>
          <w:spacing w:val="36"/>
        </w:rPr>
        <w:t> </w:t>
      </w:r>
      <w:r>
        <w:rPr>
          <w:i/>
        </w:rPr>
        <w:t>L.</w:t>
      </w:r>
      <w:r>
        <w:rPr>
          <w:i/>
          <w:spacing w:val="36"/>
        </w:rPr>
        <w:t> </w:t>
      </w:r>
      <w:r>
        <w:rPr>
          <w:i/>
        </w:rPr>
        <w:t>Ed.</w:t>
      </w:r>
      <w:r>
        <w:rPr>
          <w:i/>
          <w:spacing w:val="35"/>
        </w:rPr>
        <w:t> </w:t>
      </w:r>
      <w:r>
        <w:rPr>
          <w:i/>
        </w:rPr>
        <w:t>2d</w:t>
      </w:r>
    </w:p>
    <w:p>
      <w:pPr>
        <w:spacing w:line="480" w:lineRule="auto" w:before="2"/>
        <w:ind w:left="100" w:right="4132" w:firstLine="0"/>
        <w:jc w:val="left"/>
        <w:rPr>
          <w:sz w:val="20"/>
        </w:rPr>
      </w:pPr>
      <w:r>
        <w:rPr>
          <w:i/>
          <w:sz w:val="20"/>
        </w:rPr>
        <w:t>911(2011)</w:t>
      </w:r>
      <w:r>
        <w:rPr>
          <w:sz w:val="20"/>
        </w:rPr>
        <w:t>.</w:t>
      </w:r>
      <w:bookmarkStart w:name="Bookmark_para_16" w:id="60"/>
      <w:bookmarkEnd w:id="60"/>
      <w:r>
        <w:rPr>
          <w:sz w:val="20"/>
        </w:rPr>
      </w:r>
      <w:r>
        <w:rPr>
          <w:sz w:val="20"/>
        </w:rPr>
        <w:t> II</w:t>
      </w:r>
    </w:p>
    <w:p>
      <w:pPr>
        <w:pStyle w:val="BodyText"/>
        <w:spacing w:line="271" w:lineRule="auto" w:before="40"/>
        <w:ind w:left="100" w:right="117"/>
        <w:jc w:val="both"/>
        <w:rPr>
          <w:i/>
        </w:rPr>
      </w:pPr>
      <w:bookmarkStart w:name="Bookmark_para_17" w:id="61"/>
      <w:bookmarkEnd w:id="61"/>
      <w:r>
        <w:rPr/>
      </w:r>
      <w:r>
        <w:rPr/>
        <w:t>The Sacketts brought suit under Chapter 7 of the </w:t>
      </w:r>
      <w:r>
        <w:rPr>
          <w:spacing w:val="-4"/>
        </w:rPr>
        <w:t>APA, </w:t>
      </w:r>
      <w:r>
        <w:rPr/>
        <w:t>which provides for judicial review of "final agency </w:t>
      </w:r>
      <w:r>
        <w:rPr>
          <w:spacing w:val="-3"/>
        </w:rPr>
        <w:t>action </w:t>
      </w:r>
      <w:r>
        <w:rPr/>
        <w:t>for which there is no other adequate remedy in a </w:t>
      </w:r>
      <w:r>
        <w:rPr>
          <w:spacing w:val="-3"/>
        </w:rPr>
        <w:t>court." </w:t>
      </w:r>
      <w:r>
        <w:rPr>
          <w:i/>
        </w:rPr>
        <w:t>5 U. S. C. § 704</w:t>
      </w:r>
      <w:r>
        <w:rPr/>
        <w:t>. </w:t>
      </w:r>
      <w:r>
        <w:rPr>
          <w:b/>
        </w:rPr>
        <w:t>[*126] </w:t>
      </w:r>
      <w:r>
        <w:rPr/>
        <w:t>We consider first whether </w:t>
      </w:r>
      <w:r>
        <w:rPr>
          <w:spacing w:val="-6"/>
        </w:rPr>
        <w:t>the </w:t>
      </w:r>
      <w:r>
        <w:rPr>
          <w:b/>
        </w:rPr>
        <w:t>[***374] </w:t>
      </w:r>
      <w:r>
        <w:rPr/>
        <w:t>compliance order is final agency action.</w:t>
      </w:r>
      <w:bookmarkStart w:name="Bookmark_LNHNREFclscc2" w:id="62"/>
      <w:bookmarkEnd w:id="62"/>
      <w:r>
        <w:rPr/>
      </w:r>
      <w:r>
        <w:rPr/>
        <w:t> </w:t>
      </w:r>
      <w:bookmarkStart w:name="Bookmark_LEDHN2_1" w:id="63"/>
      <w:bookmarkEnd w:id="63"/>
      <w:r>
        <w:rPr/>
        <w:t>[2]</w:t>
      </w:r>
      <w:r>
        <w:rPr/>
        <w:t> There is no doubt it is agency action, which the </w:t>
      </w:r>
      <w:r>
        <w:rPr>
          <w:spacing w:val="-6"/>
        </w:rPr>
        <w:t>APA </w:t>
      </w:r>
      <w:r>
        <w:rPr/>
        <w:t>defines as including even a "failure to act." </w:t>
      </w:r>
      <w:r>
        <w:rPr>
          <w:i/>
        </w:rPr>
        <w:t>§§ 551(13)</w:t>
      </w:r>
      <w:r>
        <w:rPr/>
        <w:t>, </w:t>
      </w:r>
      <w:r>
        <w:rPr>
          <w:i/>
        </w:rPr>
        <w:t>701(b)(2)</w:t>
      </w:r>
      <w:r>
        <w:rPr/>
        <w:t>.</w:t>
      </w:r>
      <w:bookmarkStart w:name="Bookmark_I5K0HTX0JXX000PPC9P00001" w:id="64"/>
      <w:bookmarkEnd w:id="64"/>
      <w:r>
        <w:rPr/>
      </w:r>
      <w:bookmarkStart w:name="Bookmark_I5K0HTX11P2000PPC9P00002" w:id="65"/>
      <w:bookmarkEnd w:id="65"/>
      <w:r>
        <w:rPr/>
      </w:r>
      <w:r>
        <w:rPr/>
        <w:t> </w:t>
      </w:r>
      <w:bookmarkStart w:name="Bookmark_I55CG8J42HM5PK0020000400" w:id="66"/>
      <w:bookmarkEnd w:id="66"/>
      <w:r>
        <w:rPr/>
        <w:t>But</w:t>
      </w:r>
      <w:r>
        <w:rPr/>
        <w:t> is it </w:t>
      </w:r>
      <w:r>
        <w:rPr>
          <w:i/>
        </w:rPr>
        <w:t>final? </w:t>
      </w:r>
      <w:r>
        <w:rPr/>
        <w:t>It has all of the hallmarks </w:t>
      </w:r>
      <w:r>
        <w:rPr>
          <w:spacing w:val="-6"/>
        </w:rPr>
        <w:t>of </w:t>
      </w:r>
      <w:r>
        <w:rPr/>
        <w:t>APA finality that our opinions establish. Through the order, the EPA "'determined'" "'rights or obligations.'"</w:t>
      </w:r>
      <w:bookmarkStart w:name="Bookmark_I55CG8J42HM5PK0010000400" w:id="67"/>
      <w:bookmarkEnd w:id="67"/>
      <w:r>
        <w:rPr/>
      </w:r>
      <w:r>
        <w:rPr/>
        <w:t> </w:t>
      </w:r>
      <w:hyperlink r:id="rId11">
        <w:r>
          <w:rPr>
            <w:i/>
            <w:color w:val="0077CC"/>
            <w:u w:val="single" w:color="0077CC"/>
          </w:rPr>
          <w:t>Bennett</w:t>
        </w:r>
        <w:r>
          <w:rPr>
            <w:i/>
            <w:color w:val="0077CC"/>
            <w:spacing w:val="23"/>
            <w:u w:val="single" w:color="0077CC"/>
          </w:rPr>
          <w:t> </w:t>
        </w:r>
        <w:r>
          <w:rPr>
            <w:i/>
            <w:color w:val="0077CC"/>
            <w:u w:val="single" w:color="0077CC"/>
          </w:rPr>
          <w:t>v.</w:t>
        </w:r>
        <w:r>
          <w:rPr>
            <w:i/>
            <w:color w:val="0077CC"/>
            <w:spacing w:val="23"/>
            <w:u w:val="single" w:color="0077CC"/>
          </w:rPr>
          <w:t> </w:t>
        </w:r>
        <w:r>
          <w:rPr>
            <w:i/>
            <w:color w:val="0077CC"/>
            <w:u w:val="single" w:color="0077CC"/>
          </w:rPr>
          <w:t>Spear,</w:t>
        </w:r>
        <w:r>
          <w:rPr>
            <w:i/>
            <w:color w:val="0077CC"/>
            <w:spacing w:val="23"/>
            <w:u w:val="single" w:color="0077CC"/>
          </w:rPr>
          <w:t> </w:t>
        </w:r>
        <w:r>
          <w:rPr>
            <w:i/>
            <w:color w:val="0077CC"/>
            <w:u w:val="single" w:color="0077CC"/>
          </w:rPr>
          <w:t>520</w:t>
        </w:r>
        <w:r>
          <w:rPr>
            <w:i/>
            <w:color w:val="0077CC"/>
            <w:spacing w:val="23"/>
            <w:u w:val="single" w:color="0077CC"/>
          </w:rPr>
          <w:t> </w:t>
        </w:r>
        <w:r>
          <w:rPr>
            <w:i/>
            <w:color w:val="0077CC"/>
            <w:u w:val="single" w:color="0077CC"/>
          </w:rPr>
          <w:t>U.S.</w:t>
        </w:r>
        <w:r>
          <w:rPr>
            <w:i/>
            <w:color w:val="0077CC"/>
            <w:spacing w:val="23"/>
            <w:u w:val="single" w:color="0077CC"/>
          </w:rPr>
          <w:t> </w:t>
        </w:r>
        <w:r>
          <w:rPr>
            <w:i/>
            <w:color w:val="0077CC"/>
            <w:u w:val="single" w:color="0077CC"/>
          </w:rPr>
          <w:t>154,</w:t>
        </w:r>
        <w:r>
          <w:rPr>
            <w:i/>
            <w:color w:val="0077CC"/>
            <w:spacing w:val="22"/>
            <w:u w:val="single" w:color="0077CC"/>
          </w:rPr>
          <w:t> </w:t>
        </w:r>
        <w:r>
          <w:rPr>
            <w:i/>
            <w:color w:val="0077CC"/>
            <w:u w:val="single" w:color="0077CC"/>
          </w:rPr>
          <w:t>178,</w:t>
        </w:r>
        <w:r>
          <w:rPr>
            <w:i/>
            <w:color w:val="0077CC"/>
            <w:spacing w:val="23"/>
            <w:u w:val="single" w:color="0077CC"/>
          </w:rPr>
          <w:t> </w:t>
        </w:r>
        <w:r>
          <w:rPr>
            <w:i/>
            <w:color w:val="0077CC"/>
            <w:u w:val="single" w:color="0077CC"/>
          </w:rPr>
          <w:t>117</w:t>
        </w:r>
        <w:r>
          <w:rPr>
            <w:i/>
            <w:color w:val="0077CC"/>
            <w:spacing w:val="23"/>
            <w:u w:val="single" w:color="0077CC"/>
          </w:rPr>
          <w:t> </w:t>
        </w:r>
        <w:r>
          <w:rPr>
            <w:i/>
            <w:color w:val="0077CC"/>
            <w:u w:val="single" w:color="0077CC"/>
          </w:rPr>
          <w:t>S.</w:t>
        </w:r>
        <w:r>
          <w:rPr>
            <w:i/>
            <w:color w:val="0077CC"/>
            <w:spacing w:val="23"/>
            <w:u w:val="single" w:color="0077CC"/>
          </w:rPr>
          <w:t> </w:t>
        </w:r>
        <w:r>
          <w:rPr>
            <w:i/>
            <w:color w:val="0077CC"/>
            <w:u w:val="single" w:color="0077CC"/>
          </w:rPr>
          <w:t>Ct.</w:t>
        </w:r>
        <w:r>
          <w:rPr>
            <w:i/>
            <w:color w:val="0077CC"/>
            <w:spacing w:val="22"/>
            <w:u w:val="single" w:color="0077CC"/>
          </w:rPr>
          <w:t> </w:t>
        </w:r>
        <w:r>
          <w:rPr>
            <w:i/>
            <w:color w:val="0077CC"/>
            <w:spacing w:val="-3"/>
            <w:u w:val="single" w:color="0077CC"/>
          </w:rPr>
          <w:t>1154,</w:t>
        </w:r>
      </w:hyperlink>
    </w:p>
    <w:p>
      <w:pPr>
        <w:spacing w:line="271" w:lineRule="auto" w:before="1"/>
        <w:ind w:left="100" w:right="117" w:firstLine="0"/>
        <w:jc w:val="both"/>
        <w:rPr>
          <w:sz w:val="20"/>
        </w:rPr>
      </w:pPr>
      <w:hyperlink r:id="rId11">
        <w:r>
          <w:rPr>
            <w:i/>
            <w:color w:val="0077CC"/>
            <w:sz w:val="20"/>
            <w:u w:val="single" w:color="0077CC"/>
          </w:rPr>
          <w:t>137 L. Ed. 2d 281 (1997)</w:t>
        </w:r>
      </w:hyperlink>
      <w:r>
        <w:rPr>
          <w:i/>
          <w:color w:val="0077CC"/>
          <w:sz w:val="20"/>
        </w:rPr>
        <w:t> </w:t>
      </w:r>
      <w:r>
        <w:rPr>
          <w:b/>
          <w:sz w:val="20"/>
        </w:rPr>
        <w:t>[****10] </w:t>
      </w:r>
      <w:r>
        <w:rPr>
          <w:sz w:val="20"/>
        </w:rPr>
        <w:t>(quoting</w:t>
      </w:r>
      <w:bookmarkStart w:name="Bookmark_I55CG8J42HM5PK0030000400" w:id="68"/>
      <w:bookmarkEnd w:id="68"/>
      <w:r>
        <w:rPr>
          <w:sz w:val="20"/>
        </w:rPr>
      </w:r>
      <w:r>
        <w:rPr>
          <w:sz w:val="20"/>
        </w:rPr>
        <w:t> </w:t>
      </w:r>
      <w:hyperlink r:id="rId25">
        <w:r>
          <w:rPr>
            <w:i/>
            <w:color w:val="0077CC"/>
            <w:sz w:val="20"/>
            <w:u w:val="single" w:color="0077CC"/>
          </w:rPr>
          <w:t>Port </w:t>
        </w:r>
        <w:r>
          <w:rPr>
            <w:i/>
            <w:color w:val="0077CC"/>
            <w:spacing w:val="-6"/>
            <w:sz w:val="20"/>
            <w:u w:val="single" w:color="0077CC"/>
          </w:rPr>
          <w:t>of</w:t>
        </w:r>
      </w:hyperlink>
      <w:r>
        <w:rPr>
          <w:i/>
          <w:color w:val="0077CC"/>
          <w:spacing w:val="-6"/>
          <w:sz w:val="20"/>
        </w:rPr>
        <w:t> </w:t>
      </w:r>
      <w:hyperlink r:id="rId25">
        <w:r>
          <w:rPr>
            <w:i/>
            <w:color w:val="0077CC"/>
            <w:sz w:val="20"/>
            <w:u w:val="single" w:color="0077CC"/>
          </w:rPr>
          <w:t>Boston Marine Terminal Ass'n v. Rederiaktiebolaget</w:t>
        </w:r>
      </w:hyperlink>
      <w:r>
        <w:rPr>
          <w:i/>
          <w:color w:val="0077CC"/>
          <w:sz w:val="20"/>
        </w:rPr>
        <w:t> </w:t>
      </w:r>
      <w:hyperlink r:id="rId25">
        <w:r>
          <w:rPr>
            <w:i/>
            <w:color w:val="0077CC"/>
            <w:sz w:val="20"/>
            <w:u w:val="single" w:color="0077CC"/>
          </w:rPr>
          <w:t>Transatlantic, 400 U.S. 62, 71, 91 S. Ct. 203, 27 L. Ed.</w:t>
        </w:r>
      </w:hyperlink>
      <w:r>
        <w:rPr>
          <w:i/>
          <w:color w:val="0077CC"/>
          <w:sz w:val="20"/>
        </w:rPr>
        <w:t> </w:t>
      </w:r>
      <w:hyperlink r:id="rId25">
        <w:r>
          <w:rPr>
            <w:i/>
            <w:color w:val="0077CC"/>
            <w:sz w:val="20"/>
            <w:u w:val="single" w:color="0077CC"/>
          </w:rPr>
          <w:t>2d 203 (1970)</w:t>
        </w:r>
      </w:hyperlink>
      <w:r>
        <w:rPr>
          <w:sz w:val="20"/>
        </w:rPr>
        <w:t>). </w:t>
      </w:r>
      <w:bookmarkStart w:name="Bookmark_I55CG8J52D6NV80010000400" w:id="69"/>
      <w:bookmarkEnd w:id="69"/>
      <w:r>
        <w:rPr>
          <w:sz w:val="20"/>
        </w:rPr>
        <w:t>By</w:t>
      </w:r>
      <w:r>
        <w:rPr>
          <w:sz w:val="20"/>
        </w:rPr>
        <w:t> reason of the order, the </w:t>
      </w:r>
      <w:r>
        <w:rPr>
          <w:spacing w:val="-3"/>
          <w:sz w:val="20"/>
        </w:rPr>
        <w:t>Sacketts </w:t>
      </w:r>
      <w:r>
        <w:rPr>
          <w:sz w:val="20"/>
        </w:rPr>
        <w:t>have the legal obligation to "restore" their </w:t>
      </w:r>
      <w:r>
        <w:rPr>
          <w:spacing w:val="-3"/>
          <w:sz w:val="20"/>
        </w:rPr>
        <w:t>property </w:t>
      </w:r>
      <w:r>
        <w:rPr>
          <w:sz w:val="20"/>
        </w:rPr>
        <w:t>according to an Agency-approved Restoration </w:t>
      </w:r>
      <w:r>
        <w:rPr>
          <w:spacing w:val="-5"/>
          <w:sz w:val="20"/>
        </w:rPr>
        <w:t>Work </w:t>
      </w:r>
      <w:r>
        <w:rPr>
          <w:sz w:val="20"/>
        </w:rPr>
        <w:t>Plan, and must give the EPA access to their property and to "records and documentation related to </w:t>
      </w:r>
      <w:r>
        <w:rPr>
          <w:spacing w:val="-5"/>
          <w:sz w:val="20"/>
        </w:rPr>
        <w:t>the </w:t>
      </w:r>
      <w:r>
        <w:rPr>
          <w:sz w:val="20"/>
        </w:rPr>
        <w:t>conditions at the Site." App. 22, P 2.7. Also, "'legal consequences . . . flow'" from issuance of the </w:t>
      </w:r>
      <w:r>
        <w:rPr>
          <w:spacing w:val="-3"/>
          <w:sz w:val="20"/>
        </w:rPr>
        <w:t>order.</w:t>
      </w:r>
      <w:bookmarkStart w:name="Bookmark_I55CG8J42HM5PK0050000400" w:id="70"/>
      <w:bookmarkEnd w:id="70"/>
      <w:r>
        <w:rPr>
          <w:spacing w:val="-3"/>
          <w:sz w:val="20"/>
        </w:rPr>
      </w:r>
      <w:r>
        <w:rPr>
          <w:spacing w:val="-3"/>
          <w:sz w:val="20"/>
        </w:rPr>
        <w:t> </w:t>
      </w:r>
      <w:hyperlink r:id="rId11">
        <w:r>
          <w:rPr>
            <w:i/>
            <w:color w:val="0077CC"/>
            <w:sz w:val="20"/>
            <w:u w:val="single" w:color="0077CC"/>
          </w:rPr>
          <w:t>Bennett, supra, at 178, 117 S. Ct. 1154, 137 L. Ed. 2d</w:t>
        </w:r>
      </w:hyperlink>
      <w:r>
        <w:rPr>
          <w:i/>
          <w:color w:val="0077CC"/>
          <w:sz w:val="20"/>
        </w:rPr>
        <w:t> </w:t>
      </w:r>
      <w:hyperlink r:id="rId11">
        <w:r>
          <w:rPr>
            <w:i/>
            <w:color w:val="0077CC"/>
            <w:sz w:val="20"/>
            <w:u w:val="single" w:color="0077CC"/>
          </w:rPr>
          <w:t>281</w:t>
        </w:r>
        <w:r>
          <w:rPr>
            <w:i/>
            <w:color w:val="0077CC"/>
            <w:sz w:val="20"/>
          </w:rPr>
          <w:t> </w:t>
        </w:r>
      </w:hyperlink>
      <w:r>
        <w:rPr>
          <w:sz w:val="20"/>
        </w:rPr>
        <w:t>(quoting </w:t>
      </w:r>
      <w:r>
        <w:rPr>
          <w:b/>
          <w:sz w:val="20"/>
        </w:rPr>
        <w:t>[**1372]</w:t>
      </w:r>
      <w:bookmarkStart w:name="Bookmark_I55CG8J52D6NV80020000400" w:id="71"/>
      <w:bookmarkEnd w:id="71"/>
      <w:r>
        <w:rPr>
          <w:b/>
          <w:sz w:val="20"/>
        </w:rPr>
      </w:r>
      <w:r>
        <w:rPr>
          <w:b/>
          <w:sz w:val="20"/>
        </w:rPr>
        <w:t> </w:t>
      </w:r>
      <w:hyperlink r:id="rId25">
        <w:r>
          <w:rPr>
            <w:i/>
            <w:color w:val="0077CC"/>
            <w:sz w:val="20"/>
            <w:u w:val="single" w:color="0077CC"/>
          </w:rPr>
          <w:t>Marine Terminal, supra, at 71, </w:t>
        </w:r>
        <w:r>
          <w:rPr>
            <w:i/>
            <w:color w:val="0077CC"/>
            <w:spacing w:val="-6"/>
            <w:sz w:val="20"/>
            <w:u w:val="single" w:color="0077CC"/>
          </w:rPr>
          <w:t>91</w:t>
        </w:r>
      </w:hyperlink>
      <w:r>
        <w:rPr>
          <w:i/>
          <w:color w:val="0077CC"/>
          <w:spacing w:val="-6"/>
          <w:sz w:val="20"/>
        </w:rPr>
        <w:t> </w:t>
      </w:r>
      <w:hyperlink r:id="rId25">
        <w:r>
          <w:rPr>
            <w:i/>
            <w:color w:val="0077CC"/>
            <w:sz w:val="20"/>
            <w:u w:val="single" w:color="0077CC"/>
          </w:rPr>
          <w:t>S. Ct. 203, 27 L. Ed. 2d 203</w:t>
        </w:r>
      </w:hyperlink>
      <w:r>
        <w:rPr>
          <w:sz w:val="20"/>
        </w:rPr>
        <w:t>). For one, according to the Government's current litigating position, the </w:t>
      </w:r>
      <w:r>
        <w:rPr>
          <w:spacing w:val="-3"/>
          <w:sz w:val="20"/>
        </w:rPr>
        <w:t>order </w:t>
      </w:r>
      <w:r>
        <w:rPr>
          <w:sz w:val="20"/>
        </w:rPr>
        <w:t>exposes  the  Sacketts  to  double  penalties  in  a</w:t>
      </w:r>
      <w:r>
        <w:rPr>
          <w:spacing w:val="22"/>
          <w:sz w:val="20"/>
        </w:rPr>
        <w:t> </w:t>
      </w:r>
      <w:r>
        <w:rPr>
          <w:sz w:val="20"/>
        </w:rPr>
        <w:t>future</w:t>
      </w:r>
    </w:p>
    <w:p>
      <w:pPr>
        <w:pStyle w:val="BodyText"/>
        <w:spacing w:line="239" w:lineRule="exact"/>
        <w:ind w:left="100"/>
        <w:jc w:val="both"/>
      </w:pPr>
      <w:r>
        <w:rPr/>
        <w:t>enforcement  proceeding.  </w:t>
      </w:r>
      <w:r>
        <w:rPr>
          <w:position w:val="7"/>
          <w:sz w:val="16"/>
        </w:rPr>
        <w:t>2   </w:t>
      </w:r>
      <w:r>
        <w:rPr/>
        <w:t>It  also  severely  limits</w:t>
      </w:r>
      <w:r>
        <w:rPr>
          <w:spacing w:val="46"/>
        </w:rPr>
        <w:t> </w:t>
      </w:r>
      <w:r>
        <w:rPr/>
        <w:t>the</w:t>
      </w:r>
    </w:p>
    <w:p>
      <w:pPr>
        <w:pStyle w:val="BodyText"/>
        <w:spacing w:line="271" w:lineRule="auto" w:before="39"/>
        <w:ind w:left="100" w:right="118"/>
        <w:jc w:val="both"/>
      </w:pPr>
      <w:r>
        <w:rPr/>
        <w:t>Sacketts' ability to obtain a permit for their fill from </w:t>
      </w:r>
      <w:r>
        <w:rPr>
          <w:spacing w:val="-6"/>
        </w:rPr>
        <w:t>the </w:t>
      </w:r>
      <w:r>
        <w:rPr/>
        <w:t>Army</w:t>
      </w:r>
      <w:r>
        <w:rPr>
          <w:spacing w:val="27"/>
        </w:rPr>
        <w:t> </w:t>
      </w:r>
      <w:r>
        <w:rPr/>
        <w:t>Corps</w:t>
      </w:r>
      <w:r>
        <w:rPr>
          <w:spacing w:val="27"/>
        </w:rPr>
        <w:t> </w:t>
      </w:r>
      <w:r>
        <w:rPr/>
        <w:t>of</w:t>
      </w:r>
      <w:r>
        <w:rPr>
          <w:spacing w:val="27"/>
        </w:rPr>
        <w:t> </w:t>
      </w:r>
      <w:r>
        <w:rPr/>
        <w:t>Engineers,</w:t>
      </w:r>
      <w:r>
        <w:rPr>
          <w:spacing w:val="27"/>
        </w:rPr>
        <w:t> </w:t>
      </w:r>
      <w:r>
        <w:rPr/>
        <w:t>see</w:t>
      </w:r>
      <w:r>
        <w:rPr>
          <w:spacing w:val="26"/>
        </w:rPr>
        <w:t> </w:t>
      </w:r>
      <w:hyperlink r:id="rId9">
        <w:r>
          <w:rPr>
            <w:i/>
            <w:color w:val="0077CC"/>
            <w:u w:val="single" w:color="0077CC"/>
          </w:rPr>
          <w:t>33</w:t>
        </w:r>
        <w:r>
          <w:rPr>
            <w:i/>
            <w:color w:val="0077CC"/>
            <w:spacing w:val="27"/>
            <w:u w:val="single" w:color="0077CC"/>
          </w:rPr>
          <w:t> </w:t>
        </w:r>
        <w:r>
          <w:rPr>
            <w:i/>
            <w:color w:val="0077CC"/>
            <w:u w:val="single" w:color="0077CC"/>
          </w:rPr>
          <w:t>U.</w:t>
        </w:r>
        <w:r>
          <w:rPr>
            <w:i/>
            <w:color w:val="0077CC"/>
            <w:spacing w:val="26"/>
            <w:u w:val="single" w:color="0077CC"/>
          </w:rPr>
          <w:t> </w:t>
        </w:r>
        <w:r>
          <w:rPr>
            <w:i/>
            <w:color w:val="0077CC"/>
            <w:u w:val="single" w:color="0077CC"/>
          </w:rPr>
          <w:t>S.</w:t>
        </w:r>
        <w:r>
          <w:rPr>
            <w:i/>
            <w:color w:val="0077CC"/>
            <w:spacing w:val="27"/>
            <w:u w:val="single" w:color="0077CC"/>
          </w:rPr>
          <w:t> </w:t>
        </w:r>
        <w:r>
          <w:rPr>
            <w:i/>
            <w:color w:val="0077CC"/>
            <w:u w:val="single" w:color="0077CC"/>
          </w:rPr>
          <w:t>C.</w:t>
        </w:r>
        <w:r>
          <w:rPr>
            <w:i/>
            <w:color w:val="0077CC"/>
            <w:spacing w:val="26"/>
            <w:u w:val="single" w:color="0077CC"/>
          </w:rPr>
          <w:t> </w:t>
        </w:r>
        <w:r>
          <w:rPr>
            <w:i/>
            <w:color w:val="0077CC"/>
            <w:u w:val="single" w:color="0077CC"/>
          </w:rPr>
          <w:t>§</w:t>
        </w:r>
        <w:r>
          <w:rPr>
            <w:i/>
            <w:color w:val="0077CC"/>
            <w:spacing w:val="27"/>
            <w:u w:val="single" w:color="0077CC"/>
          </w:rPr>
          <w:t> </w:t>
        </w:r>
        <w:r>
          <w:rPr>
            <w:i/>
            <w:color w:val="0077CC"/>
            <w:u w:val="single" w:color="0077CC"/>
          </w:rPr>
          <w:t>1344</w:t>
        </w:r>
      </w:hyperlink>
      <w:r>
        <w:rPr/>
        <w:t>.</w:t>
      </w:r>
      <w:bookmarkStart w:name="Bookmark_LNHNREFclscc3" w:id="72"/>
      <w:bookmarkEnd w:id="72"/>
      <w:r>
        <w:rPr/>
      </w:r>
      <w:r>
        <w:rPr>
          <w:spacing w:val="27"/>
        </w:rPr>
        <w:t> </w:t>
      </w:r>
      <w:bookmarkStart w:name="Bookmark_LEDHN3_1" w:id="73"/>
      <w:bookmarkEnd w:id="73"/>
      <w:r>
        <w:rPr>
          <w:spacing w:val="-5"/>
        </w:rPr>
        <w:t>[3</w:t>
      </w:r>
      <w:r>
        <w:rPr>
          <w:spacing w:val="-5"/>
        </w:rPr>
        <w:t>]</w:t>
      </w:r>
    </w:p>
    <w:p>
      <w:pPr>
        <w:pStyle w:val="BodyText"/>
        <w:spacing w:before="6"/>
        <w:rPr>
          <w:sz w:val="23"/>
        </w:rPr>
      </w:pPr>
      <w:r>
        <w:rPr/>
        <w:pict>
          <v:shape style="position:absolute;margin-left:312pt;margin-top:15.901421pt;width:143.5pt;height:.1pt;mso-position-horizontal-relative:page;mso-position-vertical-relative:paragraph;z-index:-251656192;mso-wrap-distance-left:0;mso-wrap-distance-right:0" coordorigin="6240,318" coordsize="2870,0" path="m6240,318l9110,318e" filled="false" stroked="true" strokeweight=".72pt" strokecolor="#000000">
            <v:path arrowok="t"/>
            <v:stroke dashstyle="solid"/>
            <w10:wrap type="topAndBottom"/>
          </v:shape>
        </w:pict>
      </w:r>
    </w:p>
    <w:p>
      <w:pPr>
        <w:pStyle w:val="BodyText"/>
        <w:rPr>
          <w:sz w:val="27"/>
        </w:rPr>
      </w:pPr>
    </w:p>
    <w:p>
      <w:pPr>
        <w:spacing w:line="278" w:lineRule="auto" w:before="0"/>
        <w:ind w:left="100" w:right="117" w:firstLine="0"/>
        <w:jc w:val="both"/>
        <w:rPr>
          <w:sz w:val="18"/>
        </w:rPr>
      </w:pPr>
      <w:r>
        <w:rPr>
          <w:position w:val="5"/>
          <w:sz w:val="12"/>
        </w:rPr>
        <w:t>2</w:t>
      </w:r>
      <w:bookmarkStart w:name="Bookmark_fnpara_2" w:id="74"/>
      <w:bookmarkEnd w:id="74"/>
      <w:r>
        <w:rPr>
          <w:position w:val="5"/>
          <w:sz w:val="12"/>
        </w:rPr>
      </w:r>
      <w:r>
        <w:rPr>
          <w:position w:val="5"/>
          <w:sz w:val="12"/>
        </w:rPr>
        <w:t> </w:t>
      </w:r>
      <w:r>
        <w:rPr>
          <w:sz w:val="18"/>
        </w:rPr>
        <w:t>We do not decide today that the Government's position is correct, but assume the consequences of the order to be what the Government </w:t>
      </w:r>
      <w:r>
        <w:rPr>
          <w:b/>
          <w:sz w:val="18"/>
        </w:rPr>
        <w:t>[****11] </w:t>
      </w:r>
      <w:r>
        <w:rPr>
          <w:sz w:val="18"/>
        </w:rPr>
        <w:t>asserts.</w:t>
      </w:r>
    </w:p>
    <w:p>
      <w:pPr>
        <w:spacing w:after="0" w:line="278" w:lineRule="auto"/>
        <w:jc w:val="both"/>
        <w:rPr>
          <w:sz w:val="18"/>
        </w:rPr>
        <w:sectPr>
          <w:type w:val="continuous"/>
          <w:pgSz w:w="12240" w:h="15840"/>
          <w:pgMar w:top="1300" w:bottom="280" w:left="900" w:right="880"/>
          <w:cols w:num="2" w:equalWidth="0">
            <w:col w:w="5141" w:space="99"/>
            <w:col w:w="5220"/>
          </w:cols>
        </w:sectPr>
      </w:pPr>
    </w:p>
    <w:p>
      <w:pPr>
        <w:pStyle w:val="BodyText"/>
        <w:spacing w:before="80"/>
        <w:ind w:left="9128"/>
      </w:pPr>
      <w:r>
        <w:rPr/>
        <w:t>Page 4 of 7</w:t>
      </w:r>
    </w:p>
    <w:p>
      <w:pPr>
        <w:pStyle w:val="BodyText"/>
        <w:spacing w:before="40"/>
        <w:ind w:left="700"/>
      </w:pPr>
      <w:r>
        <w:rPr/>
        <w:t>566 U.S. 120, *126; 132 S. Ct. 1367, **1372; 182 L. Ed. 2d 367, ***374; 2012 U.S. LEXIS 2320, ****11</w:t>
      </w:r>
    </w:p>
    <w:p>
      <w:pPr>
        <w:pStyle w:val="BodyText"/>
        <w:spacing w:before="7"/>
        <w:rPr>
          <w:sz w:val="17"/>
        </w:rPr>
      </w:pPr>
    </w:p>
    <w:p>
      <w:pPr>
        <w:spacing w:after="0"/>
        <w:rPr>
          <w:sz w:val="17"/>
        </w:rPr>
        <w:sectPr>
          <w:headerReference w:type="default" r:id="rId26"/>
          <w:pgSz w:w="12240" w:h="15840"/>
          <w:pgMar w:header="0" w:footer="0" w:top="320" w:bottom="280" w:left="900" w:right="880"/>
        </w:sectPr>
      </w:pPr>
    </w:p>
    <w:p>
      <w:pPr>
        <w:pStyle w:val="BodyText"/>
        <w:spacing w:line="264" w:lineRule="auto" w:before="93"/>
        <w:ind w:left="100" w:right="38"/>
        <w:jc w:val="both"/>
        <w:rPr>
          <w:sz w:val="16"/>
        </w:rPr>
      </w:pPr>
      <w:r>
        <w:rPr/>
        <w:t>The Corps' regulations provide that, once the EPA has issued a compliance order with respect to certain property, the Corps will not process a permit application for that property unless doing so "is clearly appropriate." </w:t>
      </w:r>
      <w:hyperlink r:id="rId12">
        <w:r>
          <w:rPr>
            <w:i/>
            <w:color w:val="0077CC"/>
            <w:u w:val="single" w:color="0077CC"/>
          </w:rPr>
          <w:t>33 C. F. R § 326.3(e)(1)(iv) (2011)</w:t>
        </w:r>
      </w:hyperlink>
      <w:r>
        <w:rPr/>
        <w:t>. </w:t>
      </w:r>
      <w:r>
        <w:rPr>
          <w:position w:val="7"/>
          <w:sz w:val="16"/>
        </w:rPr>
        <w:t>3</w:t>
      </w:r>
    </w:p>
    <w:p>
      <w:pPr>
        <w:spacing w:line="271" w:lineRule="auto" w:before="219"/>
        <w:ind w:left="100" w:right="38" w:firstLine="55"/>
        <w:jc w:val="both"/>
        <w:rPr>
          <w:sz w:val="20"/>
        </w:rPr>
      </w:pPr>
      <w:bookmarkStart w:name="Bookmark_para_18" w:id="75"/>
      <w:bookmarkEnd w:id="75"/>
      <w:r>
        <w:rPr/>
      </w:r>
      <w:bookmarkStart w:name="Bookmark_I5K0HTX1CWS000PPC9P00003" w:id="76"/>
      <w:bookmarkEnd w:id="76"/>
      <w:r>
        <w:rPr/>
      </w:r>
      <w:bookmarkStart w:name="Bookmark_I5K0HTX1NJ2000PPC9P00004" w:id="77"/>
      <w:bookmarkEnd w:id="77"/>
      <w:r>
        <w:rPr/>
      </w:r>
      <w:bookmarkStart w:name="Bookmark_I55CG8J52D6NV80050000400" w:id="78"/>
      <w:bookmarkEnd w:id="78"/>
      <w:r>
        <w:rPr/>
      </w:r>
      <w:r>
        <w:rPr>
          <w:b/>
          <w:sz w:val="20"/>
        </w:rPr>
        <w:t>[*127] </w:t>
      </w:r>
      <w:r>
        <w:rPr>
          <w:sz w:val="20"/>
        </w:rPr>
        <w:t>The issuance of the compliance order </w:t>
      </w:r>
      <w:r>
        <w:rPr>
          <w:spacing w:val="-4"/>
          <w:sz w:val="20"/>
        </w:rPr>
        <w:t>also  </w:t>
      </w:r>
      <w:r>
        <w:rPr>
          <w:sz w:val="20"/>
        </w:rPr>
        <w:t>marks the "'consummation'" of the Agency's decisionmaking process.</w:t>
      </w:r>
      <w:bookmarkStart w:name="Bookmark_I55CG8J52D6NV80040000400" w:id="79"/>
      <w:bookmarkEnd w:id="79"/>
      <w:r>
        <w:rPr>
          <w:sz w:val="20"/>
        </w:rPr>
      </w:r>
      <w:r>
        <w:rPr>
          <w:sz w:val="20"/>
        </w:rPr>
        <w:t> </w:t>
      </w:r>
      <w:hyperlink r:id="rId11">
        <w:r>
          <w:rPr>
            <w:i/>
            <w:color w:val="0077CC"/>
            <w:sz w:val="20"/>
            <w:u w:val="single" w:color="0077CC"/>
          </w:rPr>
          <w:t>Bennett, supra, at 178, 117 </w:t>
        </w:r>
        <w:r>
          <w:rPr>
            <w:i/>
            <w:color w:val="0077CC"/>
            <w:spacing w:val="-7"/>
            <w:sz w:val="20"/>
            <w:u w:val="single" w:color="0077CC"/>
          </w:rPr>
          <w:t>S.</w:t>
        </w:r>
      </w:hyperlink>
      <w:r>
        <w:rPr>
          <w:i/>
          <w:color w:val="0077CC"/>
          <w:spacing w:val="-7"/>
          <w:sz w:val="20"/>
        </w:rPr>
        <w:t> </w:t>
      </w:r>
      <w:hyperlink r:id="rId11">
        <w:r>
          <w:rPr>
            <w:i/>
            <w:color w:val="0077CC"/>
            <w:sz w:val="20"/>
            <w:u w:val="single" w:color="0077CC"/>
          </w:rPr>
          <w:t>Ct. 1154, 137 L. Ed. 2d 281</w:t>
        </w:r>
      </w:hyperlink>
      <w:r>
        <w:rPr>
          <w:i/>
          <w:color w:val="0077CC"/>
          <w:sz w:val="20"/>
        </w:rPr>
        <w:t> </w:t>
      </w:r>
      <w:r>
        <w:rPr>
          <w:sz w:val="20"/>
        </w:rPr>
        <w:t>(quoting</w:t>
      </w:r>
      <w:bookmarkStart w:name="Bookmark_I55CG8J52HM5PN0010000400" w:id="80"/>
      <w:bookmarkEnd w:id="80"/>
      <w:r>
        <w:rPr>
          <w:sz w:val="20"/>
        </w:rPr>
      </w:r>
      <w:r>
        <w:rPr>
          <w:sz w:val="20"/>
        </w:rPr>
        <w:t> </w:t>
      </w:r>
      <w:hyperlink r:id="rId27">
        <w:r>
          <w:rPr>
            <w:i/>
            <w:color w:val="0077CC"/>
            <w:sz w:val="20"/>
            <w:u w:val="single" w:color="0077CC"/>
          </w:rPr>
          <w:t>Chicago </w:t>
        </w:r>
        <w:r>
          <w:rPr>
            <w:i/>
            <w:color w:val="0077CC"/>
            <w:spacing w:val="-14"/>
            <w:sz w:val="20"/>
            <w:u w:val="single" w:color="0077CC"/>
          </w:rPr>
          <w:t>&amp;</w:t>
        </w:r>
      </w:hyperlink>
      <w:r>
        <w:rPr>
          <w:i/>
          <w:color w:val="0077CC"/>
          <w:spacing w:val="-14"/>
          <w:sz w:val="20"/>
        </w:rPr>
        <w:t> </w:t>
      </w:r>
      <w:hyperlink r:id="rId27">
        <w:r>
          <w:rPr>
            <w:i/>
            <w:color w:val="0077CC"/>
            <w:sz w:val="20"/>
            <w:u w:val="single" w:color="0077CC"/>
          </w:rPr>
          <w:t>Southern Air Lines, Inc. v. Waterman S. S. Corp., </w:t>
        </w:r>
        <w:r>
          <w:rPr>
            <w:i/>
            <w:color w:val="0077CC"/>
            <w:spacing w:val="-5"/>
            <w:sz w:val="20"/>
            <w:u w:val="single" w:color="0077CC"/>
          </w:rPr>
          <w:t>333</w:t>
        </w:r>
      </w:hyperlink>
      <w:r>
        <w:rPr>
          <w:i/>
          <w:color w:val="0077CC"/>
          <w:spacing w:val="-5"/>
          <w:sz w:val="20"/>
        </w:rPr>
        <w:t> </w:t>
      </w:r>
      <w:hyperlink r:id="rId27">
        <w:r>
          <w:rPr>
            <w:i/>
            <w:color w:val="0077CC"/>
            <w:sz w:val="20"/>
            <w:u w:val="single" w:color="0077CC"/>
          </w:rPr>
          <w:t>U.S.</w:t>
        </w:r>
        <w:r>
          <w:rPr>
            <w:i/>
            <w:color w:val="0077CC"/>
            <w:spacing w:val="11"/>
            <w:sz w:val="20"/>
            <w:u w:val="single" w:color="0077CC"/>
          </w:rPr>
          <w:t> </w:t>
        </w:r>
        <w:r>
          <w:rPr>
            <w:i/>
            <w:color w:val="0077CC"/>
            <w:sz w:val="20"/>
            <w:u w:val="single" w:color="0077CC"/>
          </w:rPr>
          <w:t>103,</w:t>
        </w:r>
        <w:r>
          <w:rPr>
            <w:i/>
            <w:color w:val="0077CC"/>
            <w:spacing w:val="12"/>
            <w:sz w:val="20"/>
            <w:u w:val="single" w:color="0077CC"/>
          </w:rPr>
          <w:t> </w:t>
        </w:r>
        <w:r>
          <w:rPr>
            <w:i/>
            <w:color w:val="0077CC"/>
            <w:sz w:val="20"/>
            <w:u w:val="single" w:color="0077CC"/>
          </w:rPr>
          <w:t>113,</w:t>
        </w:r>
        <w:r>
          <w:rPr>
            <w:i/>
            <w:color w:val="0077CC"/>
            <w:spacing w:val="12"/>
            <w:sz w:val="20"/>
            <w:u w:val="single" w:color="0077CC"/>
          </w:rPr>
          <w:t> </w:t>
        </w:r>
        <w:r>
          <w:rPr>
            <w:i/>
            <w:color w:val="0077CC"/>
            <w:sz w:val="20"/>
            <w:u w:val="single" w:color="0077CC"/>
          </w:rPr>
          <w:t>68</w:t>
        </w:r>
        <w:r>
          <w:rPr>
            <w:i/>
            <w:color w:val="0077CC"/>
            <w:spacing w:val="12"/>
            <w:sz w:val="20"/>
            <w:u w:val="single" w:color="0077CC"/>
          </w:rPr>
          <w:t> </w:t>
        </w:r>
        <w:r>
          <w:rPr>
            <w:i/>
            <w:color w:val="0077CC"/>
            <w:sz w:val="20"/>
            <w:u w:val="single" w:color="0077CC"/>
          </w:rPr>
          <w:t>S.</w:t>
        </w:r>
        <w:r>
          <w:rPr>
            <w:i/>
            <w:color w:val="0077CC"/>
            <w:spacing w:val="12"/>
            <w:sz w:val="20"/>
            <w:u w:val="single" w:color="0077CC"/>
          </w:rPr>
          <w:t> </w:t>
        </w:r>
        <w:r>
          <w:rPr>
            <w:i/>
            <w:color w:val="0077CC"/>
            <w:sz w:val="20"/>
            <w:u w:val="single" w:color="0077CC"/>
          </w:rPr>
          <w:t>Ct.</w:t>
        </w:r>
        <w:r>
          <w:rPr>
            <w:i/>
            <w:color w:val="0077CC"/>
            <w:spacing w:val="12"/>
            <w:sz w:val="20"/>
            <w:u w:val="single" w:color="0077CC"/>
          </w:rPr>
          <w:t> </w:t>
        </w:r>
        <w:r>
          <w:rPr>
            <w:i/>
            <w:color w:val="0077CC"/>
            <w:sz w:val="20"/>
            <w:u w:val="single" w:color="0077CC"/>
          </w:rPr>
          <w:t>431,</w:t>
        </w:r>
        <w:r>
          <w:rPr>
            <w:i/>
            <w:color w:val="0077CC"/>
            <w:spacing w:val="12"/>
            <w:sz w:val="20"/>
            <w:u w:val="single" w:color="0077CC"/>
          </w:rPr>
          <w:t> </w:t>
        </w:r>
        <w:r>
          <w:rPr>
            <w:i/>
            <w:color w:val="0077CC"/>
            <w:sz w:val="20"/>
            <w:u w:val="single" w:color="0077CC"/>
          </w:rPr>
          <w:t>92</w:t>
        </w:r>
        <w:r>
          <w:rPr>
            <w:i/>
            <w:color w:val="0077CC"/>
            <w:spacing w:val="12"/>
            <w:sz w:val="20"/>
            <w:u w:val="single" w:color="0077CC"/>
          </w:rPr>
          <w:t> </w:t>
        </w:r>
        <w:r>
          <w:rPr>
            <w:i/>
            <w:color w:val="0077CC"/>
            <w:sz w:val="20"/>
            <w:u w:val="single" w:color="0077CC"/>
          </w:rPr>
          <w:t>L.</w:t>
        </w:r>
        <w:r>
          <w:rPr>
            <w:i/>
            <w:color w:val="0077CC"/>
            <w:spacing w:val="12"/>
            <w:sz w:val="20"/>
            <w:u w:val="single" w:color="0077CC"/>
          </w:rPr>
          <w:t> </w:t>
        </w:r>
        <w:r>
          <w:rPr>
            <w:i/>
            <w:color w:val="0077CC"/>
            <w:sz w:val="20"/>
            <w:u w:val="single" w:color="0077CC"/>
          </w:rPr>
          <w:t>Ed.</w:t>
        </w:r>
        <w:r>
          <w:rPr>
            <w:i/>
            <w:color w:val="0077CC"/>
            <w:spacing w:val="12"/>
            <w:sz w:val="20"/>
            <w:u w:val="single" w:color="0077CC"/>
          </w:rPr>
          <w:t> </w:t>
        </w:r>
        <w:r>
          <w:rPr>
            <w:i/>
            <w:color w:val="0077CC"/>
            <w:sz w:val="20"/>
            <w:u w:val="single" w:color="0077CC"/>
          </w:rPr>
          <w:t>568</w:t>
        </w:r>
        <w:r>
          <w:rPr>
            <w:i/>
            <w:color w:val="0077CC"/>
            <w:spacing w:val="12"/>
            <w:sz w:val="20"/>
            <w:u w:val="single" w:color="0077CC"/>
          </w:rPr>
          <w:t> </w:t>
        </w:r>
        <w:r>
          <w:rPr>
            <w:i/>
            <w:color w:val="0077CC"/>
            <w:sz w:val="20"/>
            <w:u w:val="single" w:color="0077CC"/>
          </w:rPr>
          <w:t>(1948))</w:t>
        </w:r>
      </w:hyperlink>
      <w:r>
        <w:rPr>
          <w:sz w:val="20"/>
        </w:rPr>
        <w:t>.</w:t>
      </w:r>
      <w:r>
        <w:rPr>
          <w:spacing w:val="12"/>
          <w:sz w:val="20"/>
        </w:rPr>
        <w:t> </w:t>
      </w:r>
      <w:r>
        <w:rPr>
          <w:sz w:val="20"/>
        </w:rPr>
        <w:t>As</w:t>
      </w:r>
    </w:p>
    <w:p>
      <w:pPr>
        <w:pStyle w:val="BodyText"/>
        <w:spacing w:line="271" w:lineRule="auto" w:before="1"/>
        <w:ind w:left="100" w:right="38"/>
        <w:jc w:val="both"/>
      </w:pPr>
      <w:r>
        <w:rPr/>
        <w:t>the Sacketts learned when they unsuccessfully sought </w:t>
      </w:r>
      <w:r>
        <w:rPr>
          <w:spacing w:val="-14"/>
        </w:rPr>
        <w:t>a </w:t>
      </w:r>
      <w:r>
        <w:rPr/>
        <w:t>hearing, the "Findings and Conclusions" that </w:t>
      </w:r>
      <w:r>
        <w:rPr>
          <w:spacing w:val="-7"/>
        </w:rPr>
        <w:t>the </w:t>
      </w:r>
      <w:r>
        <w:rPr/>
        <w:t>compliance order contained were not subject to </w:t>
      </w:r>
      <w:r>
        <w:rPr>
          <w:spacing w:val="-3"/>
        </w:rPr>
        <w:t>further </w:t>
      </w:r>
      <w:r>
        <w:rPr/>
        <w:t>Agency review. The Government resists this conclusion, pointing to a portion of the order that invited </w:t>
      </w:r>
      <w:r>
        <w:rPr>
          <w:spacing w:val="-4"/>
        </w:rPr>
        <w:t>the  </w:t>
      </w:r>
      <w:r>
        <w:rPr/>
        <w:t>Sacketts to "engage in informal discussion of the </w:t>
      </w:r>
      <w:r>
        <w:rPr>
          <w:spacing w:val="-4"/>
        </w:rPr>
        <w:t>terms </w:t>
      </w:r>
      <w:r>
        <w:rPr/>
        <w:t>and requirements" of the order with the EPA and</w:t>
      </w:r>
      <w:r>
        <w:rPr>
          <w:spacing w:val="34"/>
        </w:rPr>
        <w:t> </w:t>
      </w:r>
      <w:r>
        <w:rPr>
          <w:spacing w:val="-7"/>
        </w:rPr>
        <w:t>to </w:t>
      </w:r>
      <w:r>
        <w:rPr/>
        <w:t>inform the Agency of "any allegations [t]herein </w:t>
      </w:r>
      <w:r>
        <w:rPr>
          <w:spacing w:val="-3"/>
        </w:rPr>
        <w:t>which  </w:t>
      </w:r>
      <w:r>
        <w:rPr/>
        <w:t>[they] believe[d] to be inaccurate." App. 22-23, P </w:t>
      </w:r>
      <w:r>
        <w:rPr>
          <w:spacing w:val="-3"/>
        </w:rPr>
        <w:t>2.11. </w:t>
      </w:r>
      <w:r>
        <w:rPr/>
        <w:t>But that confers </w:t>
      </w:r>
      <w:r>
        <w:rPr>
          <w:b/>
        </w:rPr>
        <w:t>[****12] </w:t>
      </w:r>
      <w:r>
        <w:rPr/>
        <w:t>no entitlement to further  agency review.</w:t>
      </w:r>
      <w:bookmarkStart w:name="Bookmark_LNHNREFclscc4" w:id="81"/>
      <w:bookmarkEnd w:id="81"/>
      <w:r>
        <w:rPr/>
      </w:r>
      <w:r>
        <w:rPr/>
        <w:t> </w:t>
      </w:r>
      <w:bookmarkStart w:name="Bookmark_LEDHN4_1" w:id="82"/>
      <w:bookmarkEnd w:id="82"/>
      <w:r>
        <w:rPr/>
        <w:t>[4]</w:t>
      </w:r>
      <w:r>
        <w:rPr/>
        <w:t> The mere possibility that an </w:t>
      </w:r>
      <w:r>
        <w:rPr>
          <w:spacing w:val="-3"/>
        </w:rPr>
        <w:t>agency </w:t>
      </w:r>
      <w:r>
        <w:rPr/>
        <w:t>might reconsider in light of "informal discussion" </w:t>
      </w:r>
      <w:r>
        <w:rPr>
          <w:spacing w:val="-5"/>
        </w:rPr>
        <w:t>and </w:t>
      </w:r>
      <w:r>
        <w:rPr/>
        <w:t>invited contentions of inaccuracy does not suffice </w:t>
      </w:r>
      <w:r>
        <w:rPr>
          <w:spacing w:val="-9"/>
        </w:rPr>
        <w:t>to </w:t>
      </w:r>
      <w:r>
        <w:rPr/>
        <w:t>make an otherwise final agency action</w:t>
      </w:r>
      <w:r>
        <w:rPr>
          <w:spacing w:val="-2"/>
        </w:rPr>
        <w:t> </w:t>
      </w:r>
      <w:r>
        <w:rPr/>
        <w:t>nonfinal.</w:t>
      </w:r>
    </w:p>
    <w:p>
      <w:pPr>
        <w:pStyle w:val="BodyText"/>
        <w:spacing w:before="6"/>
        <w:rPr>
          <w:sz w:val="17"/>
        </w:rPr>
      </w:pPr>
    </w:p>
    <w:p>
      <w:pPr>
        <w:pStyle w:val="BodyText"/>
        <w:spacing w:line="271" w:lineRule="auto"/>
        <w:ind w:left="100" w:right="38"/>
        <w:jc w:val="both"/>
        <w:rPr>
          <w:i/>
        </w:rPr>
      </w:pPr>
      <w:bookmarkStart w:name="Bookmark_para_19" w:id="83"/>
      <w:bookmarkEnd w:id="83"/>
      <w:r>
        <w:rPr/>
      </w:r>
      <w:bookmarkStart w:name="Bookmark_LNHNREFclscc5" w:id="84"/>
      <w:bookmarkEnd w:id="84"/>
      <w:r>
        <w:rPr/>
      </w:r>
      <w:bookmarkStart w:name="Bookmark_LEDHN5_1" w:id="85"/>
      <w:bookmarkEnd w:id="85"/>
      <w:r>
        <w:rPr/>
      </w:r>
      <w:r>
        <w:rPr/>
        <w:t>[5] The APA's judicial review provision also requires </w:t>
      </w:r>
      <w:r>
        <w:rPr>
          <w:spacing w:val="-4"/>
        </w:rPr>
        <w:t>that </w:t>
      </w:r>
      <w:r>
        <w:rPr/>
        <w:t>the person seeking APA review of final agency </w:t>
      </w:r>
      <w:r>
        <w:rPr>
          <w:spacing w:val="-3"/>
        </w:rPr>
        <w:t>action </w:t>
      </w:r>
      <w:r>
        <w:rPr/>
        <w:t>have</w:t>
      </w:r>
      <w:r>
        <w:rPr>
          <w:spacing w:val="15"/>
        </w:rPr>
        <w:t> </w:t>
      </w:r>
      <w:r>
        <w:rPr/>
        <w:t>"no</w:t>
      </w:r>
      <w:r>
        <w:rPr>
          <w:spacing w:val="15"/>
        </w:rPr>
        <w:t> </w:t>
      </w:r>
      <w:r>
        <w:rPr/>
        <w:t>other</w:t>
      </w:r>
      <w:r>
        <w:rPr>
          <w:spacing w:val="15"/>
        </w:rPr>
        <w:t> </w:t>
      </w:r>
      <w:r>
        <w:rPr/>
        <w:t>adequate</w:t>
      </w:r>
      <w:r>
        <w:rPr>
          <w:spacing w:val="15"/>
        </w:rPr>
        <w:t> </w:t>
      </w:r>
      <w:r>
        <w:rPr/>
        <w:t>remedy</w:t>
      </w:r>
      <w:r>
        <w:rPr>
          <w:spacing w:val="15"/>
        </w:rPr>
        <w:t> </w:t>
      </w:r>
      <w:r>
        <w:rPr/>
        <w:t>in</w:t>
      </w:r>
      <w:r>
        <w:rPr>
          <w:spacing w:val="15"/>
        </w:rPr>
        <w:t> </w:t>
      </w:r>
      <w:r>
        <w:rPr/>
        <w:t>a</w:t>
      </w:r>
      <w:r>
        <w:rPr>
          <w:spacing w:val="15"/>
        </w:rPr>
        <w:t> </w:t>
      </w:r>
      <w:r>
        <w:rPr/>
        <w:t>court,"</w:t>
      </w:r>
      <w:r>
        <w:rPr>
          <w:spacing w:val="15"/>
        </w:rPr>
        <w:t> </w:t>
      </w:r>
      <w:r>
        <w:rPr>
          <w:i/>
        </w:rPr>
        <w:t>5</w:t>
      </w:r>
      <w:r>
        <w:rPr>
          <w:i/>
          <w:spacing w:val="15"/>
        </w:rPr>
        <w:t> </w:t>
      </w:r>
      <w:r>
        <w:rPr>
          <w:i/>
        </w:rPr>
        <w:t>U.</w:t>
      </w:r>
      <w:r>
        <w:rPr>
          <w:i/>
          <w:spacing w:val="15"/>
        </w:rPr>
        <w:t> </w:t>
      </w:r>
      <w:r>
        <w:rPr>
          <w:i/>
        </w:rPr>
        <w:t>S.</w:t>
      </w:r>
      <w:r>
        <w:rPr>
          <w:i/>
          <w:spacing w:val="15"/>
        </w:rPr>
        <w:t> </w:t>
      </w:r>
      <w:r>
        <w:rPr>
          <w:i/>
          <w:spacing w:val="-8"/>
        </w:rPr>
        <w:t>C.</w:t>
      </w:r>
    </w:p>
    <w:p>
      <w:pPr>
        <w:pStyle w:val="BodyText"/>
        <w:spacing w:line="271" w:lineRule="auto"/>
        <w:ind w:left="100" w:right="38"/>
        <w:jc w:val="both"/>
      </w:pPr>
      <w:r>
        <w:rPr>
          <w:i/>
        </w:rPr>
        <w:t>§ 704</w:t>
      </w:r>
      <w:r>
        <w:rPr/>
        <w:t>. In Clean Water Act enforcement cases, judicial review ordinarily comes by way of a civil action brought by the EPA under </w:t>
      </w:r>
      <w:hyperlink r:id="rId10">
        <w:r>
          <w:rPr>
            <w:i/>
            <w:color w:val="0077CC"/>
            <w:u w:val="single" w:color="0077CC"/>
          </w:rPr>
          <w:t>33 U. S. C. § 1319</w:t>
        </w:r>
      </w:hyperlink>
      <w:r>
        <w:rPr/>
        <w:t>. But the Sacketts cannot initiate that process, </w:t>
      </w:r>
      <w:r>
        <w:rPr>
          <w:b/>
        </w:rPr>
        <w:t>[***375] </w:t>
      </w:r>
      <w:r>
        <w:rPr/>
        <w:t>and each day </w:t>
      </w:r>
      <w:r>
        <w:rPr>
          <w:spacing w:val="-5"/>
        </w:rPr>
        <w:t>they </w:t>
      </w:r>
      <w:r>
        <w:rPr/>
        <w:t>wait for the Agency to drop the hammer, they accrue, </w:t>
      </w:r>
      <w:r>
        <w:rPr>
          <w:spacing w:val="-8"/>
        </w:rPr>
        <w:t>by </w:t>
      </w:r>
      <w:r>
        <w:rPr/>
        <w:t>the Government's telling, an additional $75,000 </w:t>
      </w:r>
      <w:r>
        <w:rPr>
          <w:spacing w:val="-7"/>
        </w:rPr>
        <w:t>in </w:t>
      </w:r>
      <w:r>
        <w:rPr/>
        <w:t>potential liability. The other possible route to judicial review--applying to the Corps of Engineers for a </w:t>
      </w:r>
      <w:r>
        <w:rPr>
          <w:spacing w:val="-3"/>
        </w:rPr>
        <w:t>permit </w:t>
      </w:r>
      <w:r>
        <w:rPr/>
        <w:t>and then filing suit under the APA if a permit is denied-- will not serve either.</w:t>
      </w:r>
      <w:bookmarkStart w:name="Bookmark_LNHNREFclscc6" w:id="86"/>
      <w:bookmarkEnd w:id="86"/>
      <w:r>
        <w:rPr/>
      </w:r>
      <w:r>
        <w:rPr/>
        <w:t> </w:t>
      </w:r>
      <w:bookmarkStart w:name="Bookmark_LEDHN6_1" w:id="87"/>
      <w:bookmarkEnd w:id="87"/>
      <w:r>
        <w:rPr/>
        <w:t>[</w:t>
      </w:r>
      <w:r>
        <w:rPr/>
        <w:t>6] The remedy for denial of </w:t>
      </w:r>
      <w:r>
        <w:rPr>
          <w:spacing w:val="-3"/>
        </w:rPr>
        <w:t>action </w:t>
      </w:r>
      <w:r>
        <w:rPr/>
        <w:t>that might be sought from one agency does </w:t>
      </w:r>
      <w:r>
        <w:rPr>
          <w:spacing w:val="-5"/>
        </w:rPr>
        <w:t>not </w:t>
      </w:r>
      <w:r>
        <w:rPr/>
        <w:t>ordinarily provide an "adequate remedy" for </w:t>
      </w:r>
      <w:r>
        <w:rPr>
          <w:spacing w:val="-3"/>
        </w:rPr>
        <w:t>action </w:t>
      </w:r>
      <w:r>
        <w:rPr/>
        <w:t>already taken by another agency. The Government, </w:t>
      </w:r>
      <w:r>
        <w:rPr>
          <w:spacing w:val="-8"/>
        </w:rPr>
        <w:t>to </w:t>
      </w:r>
      <w:r>
        <w:rPr/>
        <w:t>its credit, does not seriously contend that other</w:t>
      </w:r>
      <w:r>
        <w:rPr>
          <w:spacing w:val="1"/>
        </w:rPr>
        <w:t> </w:t>
      </w:r>
      <w:r>
        <w:rPr/>
        <w:t>available</w:t>
      </w:r>
    </w:p>
    <w:p>
      <w:pPr>
        <w:pStyle w:val="BodyText"/>
        <w:spacing w:before="9"/>
        <w:rPr>
          <w:sz w:val="9"/>
        </w:rPr>
      </w:pPr>
      <w:r>
        <w:rPr/>
        <w:pict>
          <v:shape style="position:absolute;margin-left:50pt;margin-top:7.983795pt;width:143.5pt;height:.1pt;mso-position-horizontal-relative:page;mso-position-vertical-relative:paragraph;z-index:-251655168;mso-wrap-distance-left:0;mso-wrap-distance-right:0" coordorigin="1000,160" coordsize="2870,0" path="m1000,160l3870,160e" filled="false" stroked="true" strokeweight=".72pt" strokecolor="#000000">
            <v:path arrowok="t"/>
            <v:stroke dashstyle="solid"/>
            <w10:wrap type="topAndBottom"/>
          </v:shape>
        </w:pict>
      </w:r>
    </w:p>
    <w:p>
      <w:pPr>
        <w:pStyle w:val="BodyText"/>
        <w:spacing w:before="5"/>
        <w:rPr>
          <w:sz w:val="30"/>
        </w:rPr>
      </w:pPr>
    </w:p>
    <w:p>
      <w:pPr>
        <w:spacing w:line="278" w:lineRule="auto" w:before="0"/>
        <w:ind w:left="100" w:right="38" w:firstLine="0"/>
        <w:jc w:val="both"/>
        <w:rPr>
          <w:sz w:val="18"/>
        </w:rPr>
      </w:pPr>
      <w:r>
        <w:rPr>
          <w:position w:val="5"/>
          <w:sz w:val="12"/>
        </w:rPr>
        <w:t>3</w:t>
      </w:r>
      <w:bookmarkStart w:name="Bookmark_fnpara_3" w:id="88"/>
      <w:bookmarkEnd w:id="88"/>
      <w:r>
        <w:rPr>
          <w:position w:val="5"/>
          <w:sz w:val="12"/>
        </w:rPr>
      </w:r>
      <w:r>
        <w:rPr>
          <w:position w:val="5"/>
          <w:sz w:val="12"/>
        </w:rPr>
        <w:t> </w:t>
      </w:r>
      <w:r>
        <w:rPr>
          <w:sz w:val="18"/>
        </w:rPr>
        <w:t>The regulation provides this consequence for </w:t>
      </w:r>
      <w:r>
        <w:rPr>
          <w:spacing w:val="-2"/>
          <w:sz w:val="18"/>
        </w:rPr>
        <w:t>"enforcement </w:t>
      </w:r>
      <w:r>
        <w:rPr>
          <w:sz w:val="18"/>
        </w:rPr>
        <w:t>litigation that has been initiated by other Federal . . . regulatory agencies." </w:t>
      </w:r>
      <w:hyperlink r:id="rId12">
        <w:r>
          <w:rPr>
            <w:i/>
            <w:color w:val="0077CC"/>
            <w:sz w:val="18"/>
            <w:u w:val="single" w:color="0077CC"/>
          </w:rPr>
          <w:t>33 CFR § 326.3(e)(1)(iv) (2011)</w:t>
        </w:r>
      </w:hyperlink>
      <w:r>
        <w:rPr>
          <w:sz w:val="18"/>
        </w:rPr>
        <w:t>. The Government acknowledges, however, that EPA's issuance of a compliance order is considered by the Corps to fall within the provision. Brief for Respondents 31. Here again, we take the Government at its word without affirming that it represents </w:t>
      </w:r>
      <w:r>
        <w:rPr>
          <w:spacing w:val="-13"/>
          <w:sz w:val="18"/>
        </w:rPr>
        <w:t>a </w:t>
      </w:r>
      <w:r>
        <w:rPr>
          <w:sz w:val="18"/>
        </w:rPr>
        <w:t>proper interpretation of the</w:t>
      </w:r>
      <w:r>
        <w:rPr>
          <w:spacing w:val="-2"/>
          <w:sz w:val="18"/>
        </w:rPr>
        <w:t> </w:t>
      </w:r>
      <w:r>
        <w:rPr>
          <w:sz w:val="18"/>
        </w:rPr>
        <w:t>regulation.</w:t>
      </w:r>
    </w:p>
    <w:p>
      <w:pPr>
        <w:pStyle w:val="BodyText"/>
        <w:spacing w:line="271" w:lineRule="auto" w:before="93"/>
        <w:ind w:left="100" w:right="117"/>
        <w:jc w:val="both"/>
      </w:pPr>
      <w:r>
        <w:rPr/>
        <w:br w:type="column"/>
      </w:r>
      <w:r>
        <w:rPr/>
        <w:t>remedies alone foreclose review under </w:t>
      </w:r>
      <w:r>
        <w:rPr>
          <w:i/>
        </w:rPr>
        <w:t>§ 704</w:t>
      </w:r>
      <w:r>
        <w:rPr/>
        <w:t>. Instead, </w:t>
      </w:r>
      <w:r>
        <w:rPr>
          <w:b/>
        </w:rPr>
        <w:t>[****13] </w:t>
      </w:r>
      <w:r>
        <w:rPr/>
        <w:t>the Government relies on </w:t>
      </w:r>
      <w:r>
        <w:rPr>
          <w:i/>
        </w:rPr>
        <w:t>§ 701(a)(1) of the </w:t>
      </w:r>
      <w:r>
        <w:rPr>
          <w:i/>
        </w:rPr>
        <w:t>APA</w:t>
      </w:r>
      <w:r>
        <w:rPr/>
        <w:t>, which excludes APA </w:t>
      </w:r>
      <w:r>
        <w:rPr>
          <w:b/>
        </w:rPr>
        <w:t>[*128] </w:t>
      </w:r>
      <w:r>
        <w:rPr/>
        <w:t>review "to the extent that [other] statutes preclude judicial review." The Clean Water Act, it says, is such a statute.</w:t>
      </w:r>
    </w:p>
    <w:p>
      <w:pPr>
        <w:pStyle w:val="BodyText"/>
        <w:spacing w:before="5"/>
        <w:rPr>
          <w:sz w:val="17"/>
        </w:rPr>
      </w:pPr>
    </w:p>
    <w:p>
      <w:pPr>
        <w:pStyle w:val="BodyText"/>
        <w:ind w:left="100"/>
      </w:pPr>
      <w:bookmarkStart w:name="Bookmark_para_20" w:id="89"/>
      <w:bookmarkEnd w:id="89"/>
      <w:r>
        <w:rPr/>
      </w:r>
      <w:r>
        <w:rPr/>
        <w:t>III</w:t>
      </w:r>
    </w:p>
    <w:p>
      <w:pPr>
        <w:pStyle w:val="BodyText"/>
        <w:spacing w:before="6"/>
        <w:rPr>
          <w:sz w:val="23"/>
        </w:rPr>
      </w:pPr>
    </w:p>
    <w:p>
      <w:pPr>
        <w:spacing w:line="271" w:lineRule="auto" w:before="0"/>
        <w:ind w:left="100" w:right="117" w:firstLine="0"/>
        <w:jc w:val="both"/>
        <w:rPr>
          <w:sz w:val="20"/>
        </w:rPr>
      </w:pPr>
      <w:bookmarkStart w:name="Bookmark_para_21" w:id="90"/>
      <w:bookmarkEnd w:id="90"/>
      <w:r>
        <w:rPr/>
      </w:r>
      <w:bookmarkStart w:name="Bookmark_I55CG8J52HM5PN0040000400" w:id="91"/>
      <w:bookmarkEnd w:id="91"/>
      <w:r>
        <w:rPr/>
      </w:r>
      <w:bookmarkStart w:name="Bookmark_I5K0HTX20G2000PPC9P00005" w:id="92"/>
      <w:bookmarkEnd w:id="92"/>
      <w:r>
        <w:rPr/>
      </w:r>
      <w:bookmarkStart w:name="Bookmark_I55CG8J52N1RJ80010000400" w:id="93"/>
      <w:bookmarkEnd w:id="93"/>
      <w:r>
        <w:rPr/>
      </w:r>
      <w:bookmarkStart w:name="Bookmark_LNHNREFclscc7" w:id="94"/>
      <w:bookmarkEnd w:id="94"/>
      <w:r>
        <w:rPr/>
      </w:r>
      <w:bookmarkStart w:name="Bookmark_LEDHN7_1" w:id="95"/>
      <w:bookmarkEnd w:id="95"/>
      <w:r>
        <w:rPr/>
      </w:r>
      <w:r>
        <w:rPr>
          <w:sz w:val="20"/>
        </w:rPr>
        <w:t>[7] Nothing in the Clean Water Act </w:t>
      </w:r>
      <w:r>
        <w:rPr>
          <w:i/>
          <w:sz w:val="20"/>
        </w:rPr>
        <w:t>expressly </w:t>
      </w:r>
      <w:r>
        <w:rPr>
          <w:sz w:val="20"/>
        </w:rPr>
        <w:t>precludes judicial review under the APA or otherwise. But </w:t>
      </w:r>
      <w:r>
        <w:rPr>
          <w:spacing w:val="-7"/>
          <w:sz w:val="20"/>
        </w:rPr>
        <w:t>in </w:t>
      </w:r>
      <w:r>
        <w:rPr>
          <w:sz w:val="20"/>
        </w:rPr>
        <w:t>determining "[w]hether and to what extent a particular statute precludes judicial review," we do not look </w:t>
      </w:r>
      <w:r>
        <w:rPr>
          <w:spacing w:val="-3"/>
          <w:sz w:val="20"/>
        </w:rPr>
        <w:t>"only </w:t>
      </w:r>
      <w:r>
        <w:rPr>
          <w:sz w:val="20"/>
        </w:rPr>
        <w:t>[to] its express language." </w:t>
      </w:r>
      <w:r>
        <w:rPr>
          <w:b/>
          <w:sz w:val="20"/>
        </w:rPr>
        <w:t>[**1373]</w:t>
      </w:r>
      <w:bookmarkStart w:name="Bookmark_I55CG8J52HM5PN0030000400" w:id="96"/>
      <w:bookmarkEnd w:id="96"/>
      <w:r>
        <w:rPr>
          <w:b/>
          <w:sz w:val="20"/>
        </w:rPr>
      </w:r>
      <w:r>
        <w:rPr>
          <w:b/>
          <w:color w:val="0077CC"/>
          <w:sz w:val="20"/>
        </w:rPr>
        <w:t> </w:t>
      </w:r>
      <w:hyperlink r:id="rId14">
        <w:r>
          <w:rPr>
            <w:i/>
            <w:color w:val="0077CC"/>
            <w:sz w:val="20"/>
            <w:u w:val="single" w:color="0077CC"/>
          </w:rPr>
          <w:t>Block v. Community</w:t>
        </w:r>
      </w:hyperlink>
      <w:hyperlink r:id="rId14">
        <w:r>
          <w:rPr>
            <w:i/>
            <w:color w:val="0077CC"/>
            <w:sz w:val="20"/>
            <w:u w:val="single" w:color="0077CC"/>
          </w:rPr>
          <w:t> </w:t>
        </w:r>
        <w:r>
          <w:rPr>
            <w:i/>
            <w:color w:val="0077CC"/>
            <w:sz w:val="20"/>
            <w:u w:val="single" w:color="0077CC"/>
          </w:rPr>
          <w:t>Nutrition Institute, 467 U.S. 340, 345, 104 S. Ct. </w:t>
        </w:r>
        <w:r>
          <w:rPr>
            <w:i/>
            <w:color w:val="0077CC"/>
            <w:spacing w:val="-3"/>
            <w:sz w:val="20"/>
            <w:u w:val="single" w:color="0077CC"/>
          </w:rPr>
          <w:t>2450,</w:t>
        </w:r>
      </w:hyperlink>
      <w:hyperlink r:id="rId14">
        <w:r>
          <w:rPr>
            <w:i/>
            <w:color w:val="0077CC"/>
            <w:spacing w:val="-3"/>
            <w:sz w:val="20"/>
            <w:u w:val="single" w:color="0077CC"/>
          </w:rPr>
          <w:t> </w:t>
        </w:r>
        <w:r>
          <w:rPr>
            <w:i/>
            <w:color w:val="0077CC"/>
            <w:sz w:val="20"/>
            <w:u w:val="single" w:color="0077CC"/>
          </w:rPr>
          <w:t>81 L. Ed. 2d 270 (1984)</w:t>
        </w:r>
      </w:hyperlink>
      <w:r>
        <w:rPr>
          <w:sz w:val="20"/>
        </w:rPr>
        <w:t>. The APA, we have said, creates a "presumption favoring judicial review </w:t>
      </w:r>
      <w:r>
        <w:rPr>
          <w:spacing w:val="-6"/>
          <w:sz w:val="20"/>
        </w:rPr>
        <w:t>of </w:t>
      </w:r>
      <w:r>
        <w:rPr>
          <w:sz w:val="20"/>
        </w:rPr>
        <w:t>administrative action," but as with most </w:t>
      </w:r>
      <w:r>
        <w:rPr>
          <w:spacing w:val="-3"/>
          <w:sz w:val="20"/>
        </w:rPr>
        <w:t>presumptions, </w:t>
      </w:r>
      <w:r>
        <w:rPr>
          <w:sz w:val="20"/>
        </w:rPr>
        <w:t>this one "may be overcome by inferences of intent drawn from the statutory scheme as a whole."</w:t>
      </w:r>
      <w:bookmarkStart w:name="Bookmark_I55CG8J52HM5PN0050000400" w:id="97"/>
      <w:bookmarkEnd w:id="97"/>
      <w:r>
        <w:rPr>
          <w:sz w:val="20"/>
        </w:rPr>
      </w:r>
      <w:hyperlink r:id="rId14">
        <w:r>
          <w:rPr>
            <w:color w:val="0077CC"/>
            <w:sz w:val="20"/>
          </w:rPr>
          <w:t> </w:t>
        </w:r>
        <w:r>
          <w:rPr>
            <w:i/>
            <w:color w:val="0077CC"/>
            <w:sz w:val="20"/>
            <w:u w:val="single" w:color="0077CC"/>
          </w:rPr>
          <w:t>Id., </w:t>
        </w:r>
        <w:r>
          <w:rPr>
            <w:i/>
            <w:color w:val="0077CC"/>
            <w:spacing w:val="-8"/>
            <w:sz w:val="20"/>
            <w:u w:val="single" w:color="0077CC"/>
          </w:rPr>
          <w:t>at</w:t>
        </w:r>
      </w:hyperlink>
      <w:hyperlink r:id="rId14">
        <w:r>
          <w:rPr>
            <w:i/>
            <w:color w:val="0077CC"/>
            <w:spacing w:val="-8"/>
            <w:sz w:val="20"/>
            <w:u w:val="single" w:color="0077CC"/>
          </w:rPr>
          <w:t> </w:t>
        </w:r>
        <w:r>
          <w:rPr>
            <w:i/>
            <w:color w:val="0077CC"/>
            <w:sz w:val="20"/>
            <w:u w:val="single" w:color="0077CC"/>
          </w:rPr>
          <w:t>349, 104 S. Ct. 2450, 81 L. Ed. 2d 270</w:t>
        </w:r>
      </w:hyperlink>
      <w:r>
        <w:rPr>
          <w:sz w:val="20"/>
        </w:rPr>
        <w:t>. The Government offers several reasons why the statutory scheme of the Clean Water Act precludes</w:t>
      </w:r>
      <w:r>
        <w:rPr>
          <w:spacing w:val="-2"/>
          <w:sz w:val="20"/>
        </w:rPr>
        <w:t> </w:t>
      </w:r>
      <w:r>
        <w:rPr>
          <w:sz w:val="20"/>
        </w:rPr>
        <w:t>review.</w:t>
      </w:r>
    </w:p>
    <w:p>
      <w:pPr>
        <w:pStyle w:val="BodyText"/>
        <w:spacing w:before="6"/>
        <w:rPr>
          <w:sz w:val="17"/>
        </w:rPr>
      </w:pPr>
    </w:p>
    <w:p>
      <w:pPr>
        <w:pStyle w:val="BodyText"/>
        <w:spacing w:line="271" w:lineRule="auto"/>
        <w:ind w:left="100" w:right="117"/>
        <w:jc w:val="both"/>
      </w:pPr>
      <w:bookmarkStart w:name="Bookmark_para_22" w:id="98"/>
      <w:bookmarkEnd w:id="98"/>
      <w:r>
        <w:rPr/>
      </w:r>
      <w:r>
        <w:rPr/>
        <w:t>The Government first points to</w:t>
      </w:r>
      <w:bookmarkStart w:name="Bookmark_LNHNREFclscc8" w:id="99"/>
      <w:bookmarkEnd w:id="99"/>
      <w:r>
        <w:rPr/>
      </w:r>
      <w:r>
        <w:rPr/>
        <w:t> </w:t>
      </w:r>
      <w:bookmarkStart w:name="Bookmark_LEDHN8_1" w:id="100"/>
      <w:bookmarkEnd w:id="100"/>
      <w:r>
        <w:rPr/>
        <w:t>[8]</w:t>
      </w:r>
      <w:r>
        <w:rPr/>
        <w:t> </w:t>
      </w:r>
      <w:hyperlink r:id="rId10">
        <w:r>
          <w:rPr>
            <w:i/>
            <w:color w:val="0077CC"/>
            <w:u w:val="single" w:color="0077CC"/>
          </w:rPr>
          <w:t>33 U. S. C. </w:t>
        </w:r>
        <w:r>
          <w:rPr>
            <w:i/>
            <w:color w:val="0077CC"/>
            <w:spacing w:val="-11"/>
            <w:u w:val="single" w:color="0077CC"/>
          </w:rPr>
          <w:t>§</w:t>
        </w:r>
      </w:hyperlink>
      <w:r>
        <w:rPr>
          <w:i/>
          <w:color w:val="0077CC"/>
          <w:spacing w:val="-11"/>
        </w:rPr>
        <w:t> </w:t>
      </w:r>
      <w:hyperlink r:id="rId10">
        <w:r>
          <w:rPr>
            <w:i/>
            <w:color w:val="0077CC"/>
            <w:u w:val="single" w:color="0077CC"/>
          </w:rPr>
          <w:t>1319(a)(3)</w:t>
        </w:r>
      </w:hyperlink>
      <w:r>
        <w:rPr/>
        <w:t>, which provides that, when the EPA </w:t>
      </w:r>
      <w:r>
        <w:rPr>
          <w:spacing w:val="-3"/>
        </w:rPr>
        <w:t>"finds  </w:t>
      </w:r>
      <w:r>
        <w:rPr/>
        <w:t>that any person is in violation" of certain portions of the Act, the Agency "shall issue an order requiring</w:t>
      </w:r>
      <w:r>
        <w:rPr>
          <w:spacing w:val="32"/>
        </w:rPr>
        <w:t> </w:t>
      </w:r>
      <w:r>
        <w:rPr>
          <w:spacing w:val="-3"/>
        </w:rPr>
        <w:t>such </w:t>
      </w:r>
      <w:r>
        <w:rPr/>
        <w:t>person to comply with [the Act], or . . . shall bring a </w:t>
      </w:r>
      <w:r>
        <w:rPr>
          <w:spacing w:val="-3"/>
        </w:rPr>
        <w:t>civil </w:t>
      </w:r>
      <w:r>
        <w:rPr/>
        <w:t>action [to enforce the Act]." The Government </w:t>
      </w:r>
      <w:r>
        <w:rPr>
          <w:spacing w:val="-3"/>
        </w:rPr>
        <w:t>argues </w:t>
      </w:r>
      <w:r>
        <w:rPr/>
        <w:t>that, because Congress gave the EPA </w:t>
      </w:r>
      <w:r>
        <w:rPr>
          <w:b/>
        </w:rPr>
        <w:t>[****14] </w:t>
      </w:r>
      <w:r>
        <w:rPr>
          <w:spacing w:val="-6"/>
        </w:rPr>
        <w:t>the </w:t>
      </w:r>
      <w:r>
        <w:rPr/>
        <w:t>choice between a judicial proceeding and </w:t>
      </w:r>
      <w:r>
        <w:rPr>
          <w:spacing w:val="-7"/>
        </w:rPr>
        <w:t>an </w:t>
      </w:r>
      <w:r>
        <w:rPr/>
        <w:t>administrative action, it would undermine the Act </w:t>
      </w:r>
      <w:r>
        <w:rPr>
          <w:spacing w:val="-7"/>
        </w:rPr>
        <w:t>to </w:t>
      </w:r>
      <w:r>
        <w:rPr/>
        <w:t>allow judicial review of the latter. But that  argument rests on the question-begging premise that the relevant difference between a compliance order and </w:t>
      </w:r>
      <w:r>
        <w:rPr>
          <w:spacing w:val="-8"/>
        </w:rPr>
        <w:t>an </w:t>
      </w:r>
      <w:r>
        <w:rPr/>
        <w:t>enforcement proceeding is that only the latter is subject to judicial review. There are eminently sound reasons other than insulation from judicial review </w:t>
      </w:r>
      <w:r>
        <w:rPr>
          <w:spacing w:val="-5"/>
        </w:rPr>
        <w:t>why </w:t>
      </w:r>
      <w:r>
        <w:rPr/>
        <w:t>compliance orders are useful. The Government </w:t>
      </w:r>
      <w:r>
        <w:rPr>
          <w:spacing w:val="-3"/>
        </w:rPr>
        <w:t>itself </w:t>
      </w:r>
      <w:r>
        <w:rPr/>
        <w:t>suggests that they "provid[e] a means of notifying recipients of potential violations and quickly resolving the issues through voluntary compliance." Brief </w:t>
      </w:r>
      <w:r>
        <w:rPr>
          <w:spacing w:val="-5"/>
        </w:rPr>
        <w:t>for </w:t>
      </w:r>
      <w:r>
        <w:rPr/>
        <w:t>Respondents 39. It is entirely consistent with this function to allow judicial review when the recipient </w:t>
      </w:r>
      <w:r>
        <w:rPr>
          <w:spacing w:val="-4"/>
        </w:rPr>
        <w:t>does </w:t>
      </w:r>
      <w:r>
        <w:rPr/>
        <w:t>not choose "voluntary compliance." The Act does </w:t>
      </w:r>
      <w:r>
        <w:rPr>
          <w:spacing w:val="-5"/>
        </w:rPr>
        <w:t>not </w:t>
      </w:r>
      <w:r>
        <w:rPr/>
        <w:t>guarantee the EPA that issuing </w:t>
      </w:r>
      <w:r>
        <w:rPr>
          <w:b/>
        </w:rPr>
        <w:t>[*129] </w:t>
      </w:r>
      <w:r>
        <w:rPr/>
        <w:t>a compliance order will always be the most effective choice.</w:t>
      </w:r>
    </w:p>
    <w:p>
      <w:pPr>
        <w:pStyle w:val="BodyText"/>
        <w:spacing w:before="7"/>
        <w:rPr>
          <w:sz w:val="17"/>
        </w:rPr>
      </w:pPr>
    </w:p>
    <w:p>
      <w:pPr>
        <w:pStyle w:val="BodyText"/>
        <w:spacing w:line="271" w:lineRule="auto" w:before="1"/>
        <w:ind w:left="100" w:right="117"/>
        <w:jc w:val="both"/>
      </w:pPr>
      <w:bookmarkStart w:name="Bookmark_para_23" w:id="101"/>
      <w:bookmarkEnd w:id="101"/>
      <w:r>
        <w:rPr/>
      </w:r>
      <w:r>
        <w:rPr/>
        <w:t>The Government also notes that compliance orders are not self-executing, but must be enforced by the Agency in a plenary judicial action. It suggests that Congress therefore viewed a compliance order "as a step in the deliberative process[,] . . . rather than as a coercive</w:t>
      </w:r>
    </w:p>
    <w:p>
      <w:pPr>
        <w:spacing w:after="0" w:line="271" w:lineRule="auto"/>
        <w:jc w:val="both"/>
        <w:sectPr>
          <w:type w:val="continuous"/>
          <w:pgSz w:w="12240" w:h="15840"/>
          <w:pgMar w:top="1300" w:bottom="280" w:left="900" w:right="880"/>
          <w:cols w:num="2" w:equalWidth="0">
            <w:col w:w="5141" w:space="99"/>
            <w:col w:w="5220"/>
          </w:cols>
        </w:sectPr>
      </w:pPr>
    </w:p>
    <w:p>
      <w:pPr>
        <w:pStyle w:val="BodyText"/>
        <w:spacing w:before="6"/>
        <w:rPr>
          <w:sz w:val="17"/>
        </w:rPr>
      </w:pPr>
    </w:p>
    <w:p>
      <w:pPr>
        <w:spacing w:after="0"/>
        <w:rPr>
          <w:sz w:val="17"/>
        </w:rPr>
        <w:sectPr>
          <w:headerReference w:type="default" r:id="rId28"/>
          <w:pgSz w:w="12240" w:h="15840"/>
          <w:pgMar w:header="407" w:footer="0" w:top="900" w:bottom="280" w:left="900" w:right="880"/>
        </w:sectPr>
      </w:pPr>
    </w:p>
    <w:p>
      <w:pPr>
        <w:pStyle w:val="BodyText"/>
        <w:spacing w:line="271" w:lineRule="auto" w:before="94"/>
        <w:ind w:left="100" w:right="38"/>
        <w:jc w:val="both"/>
      </w:pPr>
      <w:r>
        <w:rPr/>
        <w:t>sanction that  itself  must  be  subject  to  judicial  </w:t>
      </w:r>
      <w:r>
        <w:rPr>
          <w:b/>
        </w:rPr>
        <w:t>[****15] </w:t>
      </w:r>
      <w:r>
        <w:rPr/>
        <w:t>review." </w:t>
      </w:r>
      <w:r>
        <w:rPr>
          <w:i/>
        </w:rPr>
        <w:t>Id.</w:t>
      </w:r>
      <w:r>
        <w:rPr/>
        <w:t>, at 38. But</w:t>
      </w:r>
      <w:bookmarkStart w:name="Bookmark_LNHNREFclscc9" w:id="102"/>
      <w:bookmarkEnd w:id="102"/>
      <w:r>
        <w:rPr/>
      </w:r>
      <w:r>
        <w:rPr/>
        <w:t> </w:t>
      </w:r>
      <w:bookmarkStart w:name="Bookmark_LEDHN9_1" w:id="103"/>
      <w:bookmarkEnd w:id="103"/>
      <w:r>
        <w:rPr/>
        <w:t>[9]</w:t>
      </w:r>
      <w:r>
        <w:rPr/>
        <w:t> the APA provides for judicial review of all final agency actions, not just </w:t>
      </w:r>
      <w:r>
        <w:rPr>
          <w:spacing w:val="-4"/>
        </w:rPr>
        <w:t>those </w:t>
      </w:r>
      <w:r>
        <w:rPr/>
        <w:t>that impose a self-executing sanction. And it is hard for the Government to defend its claim that the issuance </w:t>
      </w:r>
      <w:r>
        <w:rPr>
          <w:spacing w:val="-7"/>
        </w:rPr>
        <w:t>of </w:t>
      </w:r>
      <w:r>
        <w:rPr/>
        <w:t>the compliance order was just "a step in the deliberative process" when the </w:t>
      </w:r>
      <w:r>
        <w:rPr>
          <w:b/>
        </w:rPr>
        <w:t>[***376] </w:t>
      </w:r>
      <w:r>
        <w:rPr/>
        <w:t>Agency rejected </w:t>
      </w:r>
      <w:r>
        <w:rPr>
          <w:spacing w:val="-5"/>
        </w:rPr>
        <w:t>the </w:t>
      </w:r>
      <w:r>
        <w:rPr/>
        <w:t>Sacketts' attempt to obtain a hearing and when the </w:t>
      </w:r>
      <w:r>
        <w:rPr>
          <w:i/>
        </w:rPr>
        <w:t>next </w:t>
      </w:r>
      <w:r>
        <w:rPr/>
        <w:t>step will either be taken by the Sacketts (if they </w:t>
      </w:r>
      <w:r>
        <w:rPr>
          <w:spacing w:val="-3"/>
        </w:rPr>
        <w:t>comply </w:t>
      </w:r>
      <w:r>
        <w:rPr/>
        <w:t>with the order) or will involve judicial, not administrative, deliberation (if the EPA brings an enforcement action). As the text (and indeed the very name) of </w:t>
      </w:r>
      <w:r>
        <w:rPr>
          <w:spacing w:val="-4"/>
        </w:rPr>
        <w:t>the </w:t>
      </w:r>
      <w:r>
        <w:rPr/>
        <w:t>compliance order makes clear, the EPA's "deliberation" over whether the Sacketts are in violation of the Act is at an end; the Agency may still have to deliberate </w:t>
      </w:r>
      <w:r>
        <w:rPr>
          <w:spacing w:val="-3"/>
        </w:rPr>
        <w:t>over </w:t>
      </w:r>
      <w:r>
        <w:rPr/>
        <w:t>whether it is confident enough about this conclusion </w:t>
      </w:r>
      <w:r>
        <w:rPr>
          <w:spacing w:val="-6"/>
        </w:rPr>
        <w:t>to </w:t>
      </w:r>
      <w:r>
        <w:rPr/>
        <w:t>initiate litigation, but that is a separate</w:t>
      </w:r>
      <w:r>
        <w:rPr>
          <w:spacing w:val="-1"/>
        </w:rPr>
        <w:t> </w:t>
      </w:r>
      <w:r>
        <w:rPr/>
        <w:t>subject.</w:t>
      </w:r>
    </w:p>
    <w:p>
      <w:pPr>
        <w:pStyle w:val="BodyText"/>
        <w:spacing w:before="6"/>
        <w:rPr>
          <w:sz w:val="17"/>
        </w:rPr>
      </w:pPr>
    </w:p>
    <w:p>
      <w:pPr>
        <w:pStyle w:val="BodyText"/>
        <w:spacing w:line="271" w:lineRule="auto" w:before="1"/>
        <w:ind w:left="100" w:right="38"/>
        <w:jc w:val="both"/>
      </w:pPr>
      <w:bookmarkStart w:name="Bookmark_para_24" w:id="104"/>
      <w:bookmarkEnd w:id="104"/>
      <w:r>
        <w:rPr/>
      </w:r>
      <w:r>
        <w:rPr/>
        <w:t>The Government further urges us to consider that Congress expressly provided for prompt judicial review, on the administrative record, when the EPA assesses administrative penalties after a hearing, see </w:t>
      </w:r>
      <w:hyperlink r:id="rId10">
        <w:r>
          <w:rPr>
            <w:i/>
            <w:color w:val="0077CC"/>
            <w:u w:val="single" w:color="0077CC"/>
          </w:rPr>
          <w:t>§</w:t>
        </w:r>
      </w:hyperlink>
      <w:r>
        <w:rPr>
          <w:i/>
          <w:color w:val="0077CC"/>
        </w:rPr>
        <w:t> </w:t>
      </w:r>
      <w:hyperlink r:id="rId10">
        <w:r>
          <w:rPr>
            <w:i/>
            <w:color w:val="0077CC"/>
            <w:u w:val="single" w:color="0077CC"/>
          </w:rPr>
          <w:t>1319(g)(8)</w:t>
        </w:r>
      </w:hyperlink>
      <w:r>
        <w:rPr/>
        <w:t>, but did not expressly provide for review of compliance orders. But</w:t>
      </w:r>
      <w:bookmarkStart w:name="Bookmark_LNHNREFclscc10" w:id="105"/>
      <w:bookmarkEnd w:id="105"/>
      <w:r>
        <w:rPr/>
      </w:r>
      <w:r>
        <w:rPr/>
        <w:t> </w:t>
      </w:r>
      <w:bookmarkStart w:name="Bookmark_LEDHN10_1" w:id="106"/>
      <w:bookmarkEnd w:id="106"/>
      <w:r>
        <w:rPr/>
        <w:t>[10]</w:t>
      </w:r>
      <w:r>
        <w:rPr/>
        <w:t> if the express provision of judicial review in </w:t>
      </w:r>
      <w:r>
        <w:rPr>
          <w:b/>
        </w:rPr>
        <w:t>[****16] </w:t>
      </w:r>
      <w:r>
        <w:rPr/>
        <w:t>one section of a long and complicated statute were alone enough to overcome the APA's presumption of reviewability for all final agency action, it would not be much of a presumption at all.</w:t>
      </w:r>
    </w:p>
    <w:p>
      <w:pPr>
        <w:pStyle w:val="BodyText"/>
        <w:spacing w:before="11"/>
      </w:pPr>
    </w:p>
    <w:p>
      <w:pPr>
        <w:spacing w:line="271" w:lineRule="auto" w:before="0"/>
        <w:ind w:left="100" w:right="38" w:firstLine="0"/>
        <w:jc w:val="both"/>
        <w:rPr>
          <w:sz w:val="20"/>
        </w:rPr>
      </w:pPr>
      <w:bookmarkStart w:name="Bookmark_para_25" w:id="107"/>
      <w:bookmarkEnd w:id="107"/>
      <w:r>
        <w:rPr/>
      </w:r>
      <w:bookmarkStart w:name="Bookmark_I5K0HTX29D2000PPC9P00006" w:id="108"/>
      <w:bookmarkEnd w:id="108"/>
      <w:r>
        <w:rPr/>
      </w:r>
      <w:bookmarkStart w:name="Bookmark_I55CG8J52N1RJ80030000400" w:id="109"/>
      <w:bookmarkEnd w:id="109"/>
      <w:r>
        <w:rPr/>
      </w:r>
      <w:r>
        <w:rPr>
          <w:sz w:val="20"/>
        </w:rPr>
        <w:t>The cases on which the Government relies simply </w:t>
      </w:r>
      <w:r>
        <w:rPr>
          <w:spacing w:val="-4"/>
          <w:sz w:val="20"/>
        </w:rPr>
        <w:t>are </w:t>
      </w:r>
      <w:r>
        <w:rPr>
          <w:sz w:val="20"/>
        </w:rPr>
        <w:t>not analogous.</w:t>
      </w:r>
      <w:bookmarkStart w:name="Bookmark_I5K0HTX2K2B000PPC9P00007" w:id="110"/>
      <w:bookmarkEnd w:id="110"/>
      <w:r>
        <w:rPr>
          <w:sz w:val="20"/>
        </w:rPr>
      </w:r>
      <w:r>
        <w:rPr>
          <w:sz w:val="20"/>
        </w:rPr>
        <w:t> </w:t>
      </w:r>
      <w:bookmarkStart w:name="Bookmark_I55CG8J528T4JX0020000400" w:id="111"/>
      <w:bookmarkEnd w:id="111"/>
      <w:r>
        <w:rPr>
          <w:sz w:val="20"/>
        </w:rPr>
        <w:t>In</w:t>
      </w:r>
      <w:bookmarkStart w:name="Bookmark_I55CG8J52N1RJ80020000400" w:id="112"/>
      <w:bookmarkEnd w:id="112"/>
      <w:r>
        <w:rPr>
          <w:sz w:val="20"/>
        </w:rPr>
      </w:r>
      <w:r>
        <w:rPr>
          <w:sz w:val="20"/>
        </w:rPr>
        <w:t> </w:t>
      </w:r>
      <w:hyperlink r:id="rId14">
        <w:r>
          <w:rPr>
            <w:i/>
            <w:color w:val="0077CC"/>
            <w:sz w:val="20"/>
            <w:u w:val="single" w:color="0077CC"/>
          </w:rPr>
          <w:t>Block v. Community Nutrition Institute,</w:t>
        </w:r>
      </w:hyperlink>
      <w:r>
        <w:rPr>
          <w:i/>
          <w:color w:val="0077CC"/>
          <w:sz w:val="20"/>
        </w:rPr>
        <w:t> </w:t>
      </w:r>
      <w:hyperlink r:id="rId14">
        <w:r>
          <w:rPr>
            <w:i/>
            <w:color w:val="0077CC"/>
            <w:sz w:val="20"/>
            <w:u w:val="single" w:color="0077CC"/>
          </w:rPr>
          <w:t>supra</w:t>
        </w:r>
      </w:hyperlink>
      <w:r>
        <w:rPr>
          <w:sz w:val="20"/>
        </w:rPr>
        <w:t>, we held that the Agricultural Marketing Agreement Act of 1937, which expressly allowed </w:t>
      </w:r>
      <w:r>
        <w:rPr>
          <w:spacing w:val="-4"/>
          <w:sz w:val="20"/>
        </w:rPr>
        <w:t>milk </w:t>
      </w:r>
      <w:r>
        <w:rPr>
          <w:sz w:val="20"/>
        </w:rPr>
        <w:t>handlers to obtain judicial review of milk market </w:t>
      </w:r>
      <w:r>
        <w:rPr>
          <w:spacing w:val="-3"/>
          <w:sz w:val="20"/>
        </w:rPr>
        <w:t>orders, </w:t>
      </w:r>
      <w:r>
        <w:rPr>
          <w:sz w:val="20"/>
        </w:rPr>
        <w:t>precluded review of </w:t>
      </w:r>
      <w:r>
        <w:rPr>
          <w:b/>
          <w:sz w:val="20"/>
        </w:rPr>
        <w:t>[*130] </w:t>
      </w:r>
      <w:r>
        <w:rPr>
          <w:sz w:val="20"/>
        </w:rPr>
        <w:t>milk market orders </w:t>
      </w:r>
      <w:r>
        <w:rPr>
          <w:spacing w:val="-8"/>
          <w:sz w:val="20"/>
        </w:rPr>
        <w:t>in </w:t>
      </w:r>
      <w:r>
        <w:rPr>
          <w:b/>
          <w:sz w:val="20"/>
        </w:rPr>
        <w:t>[**1374] </w:t>
      </w:r>
      <w:r>
        <w:rPr>
          <w:sz w:val="20"/>
        </w:rPr>
        <w:t>suits brought by milk </w:t>
      </w:r>
      <w:r>
        <w:rPr>
          <w:i/>
          <w:sz w:val="20"/>
        </w:rPr>
        <w:t>consumers</w:t>
      </w:r>
      <w:r>
        <w:rPr>
          <w:sz w:val="20"/>
        </w:rPr>
        <w:t>.</w:t>
      </w:r>
      <w:bookmarkStart w:name="Bookmark_I55CG8J52N1RJ80040000400" w:id="113"/>
      <w:bookmarkEnd w:id="113"/>
      <w:r>
        <w:rPr>
          <w:sz w:val="20"/>
        </w:rPr>
      </w:r>
      <w:r>
        <w:rPr>
          <w:sz w:val="20"/>
        </w:rPr>
        <w:t> </w:t>
      </w:r>
      <w:hyperlink r:id="rId14">
        <w:r>
          <w:rPr>
            <w:i/>
            <w:color w:val="0077CC"/>
            <w:sz w:val="20"/>
            <w:u w:val="single" w:color="0077CC"/>
          </w:rPr>
          <w:t>467 U.S., at</w:t>
        </w:r>
      </w:hyperlink>
      <w:r>
        <w:rPr>
          <w:i/>
          <w:color w:val="0077CC"/>
          <w:sz w:val="20"/>
        </w:rPr>
        <w:t> </w:t>
      </w:r>
      <w:hyperlink r:id="rId14">
        <w:r>
          <w:rPr>
            <w:i/>
            <w:color w:val="0077CC"/>
            <w:sz w:val="20"/>
            <w:u w:val="single" w:color="0077CC"/>
          </w:rPr>
          <w:t>345-348,</w:t>
        </w:r>
        <w:r>
          <w:rPr>
            <w:i/>
            <w:color w:val="0077CC"/>
            <w:spacing w:val="7"/>
            <w:sz w:val="20"/>
            <w:u w:val="single" w:color="0077CC"/>
          </w:rPr>
          <w:t> </w:t>
        </w:r>
        <w:r>
          <w:rPr>
            <w:i/>
            <w:color w:val="0077CC"/>
            <w:sz w:val="20"/>
            <w:u w:val="single" w:color="0077CC"/>
          </w:rPr>
          <w:t>104</w:t>
        </w:r>
        <w:r>
          <w:rPr>
            <w:i/>
            <w:color w:val="0077CC"/>
            <w:spacing w:val="8"/>
            <w:sz w:val="20"/>
            <w:u w:val="single" w:color="0077CC"/>
          </w:rPr>
          <w:t> </w:t>
        </w:r>
        <w:r>
          <w:rPr>
            <w:i/>
            <w:color w:val="0077CC"/>
            <w:sz w:val="20"/>
            <w:u w:val="single" w:color="0077CC"/>
          </w:rPr>
          <w:t>S.</w:t>
        </w:r>
        <w:r>
          <w:rPr>
            <w:i/>
            <w:color w:val="0077CC"/>
            <w:spacing w:val="8"/>
            <w:sz w:val="20"/>
            <w:u w:val="single" w:color="0077CC"/>
          </w:rPr>
          <w:t> </w:t>
        </w:r>
        <w:r>
          <w:rPr>
            <w:i/>
            <w:color w:val="0077CC"/>
            <w:sz w:val="20"/>
            <w:u w:val="single" w:color="0077CC"/>
          </w:rPr>
          <w:t>Ct.</w:t>
        </w:r>
        <w:r>
          <w:rPr>
            <w:i/>
            <w:color w:val="0077CC"/>
            <w:spacing w:val="8"/>
            <w:sz w:val="20"/>
            <w:u w:val="single" w:color="0077CC"/>
          </w:rPr>
          <w:t> </w:t>
        </w:r>
        <w:r>
          <w:rPr>
            <w:i/>
            <w:color w:val="0077CC"/>
            <w:sz w:val="20"/>
            <w:u w:val="single" w:color="0077CC"/>
          </w:rPr>
          <w:t>2450,</w:t>
        </w:r>
        <w:r>
          <w:rPr>
            <w:i/>
            <w:color w:val="0077CC"/>
            <w:spacing w:val="8"/>
            <w:sz w:val="20"/>
            <w:u w:val="single" w:color="0077CC"/>
          </w:rPr>
          <w:t> </w:t>
        </w:r>
        <w:r>
          <w:rPr>
            <w:i/>
            <w:color w:val="0077CC"/>
            <w:sz w:val="20"/>
            <w:u w:val="single" w:color="0077CC"/>
          </w:rPr>
          <w:t>81</w:t>
        </w:r>
        <w:r>
          <w:rPr>
            <w:i/>
            <w:color w:val="0077CC"/>
            <w:spacing w:val="8"/>
            <w:sz w:val="20"/>
            <w:u w:val="single" w:color="0077CC"/>
          </w:rPr>
          <w:t> </w:t>
        </w:r>
        <w:r>
          <w:rPr>
            <w:i/>
            <w:color w:val="0077CC"/>
            <w:sz w:val="20"/>
            <w:u w:val="single" w:color="0077CC"/>
          </w:rPr>
          <w:t>L.</w:t>
        </w:r>
        <w:r>
          <w:rPr>
            <w:i/>
            <w:color w:val="0077CC"/>
            <w:spacing w:val="8"/>
            <w:sz w:val="20"/>
            <w:u w:val="single" w:color="0077CC"/>
          </w:rPr>
          <w:t> </w:t>
        </w:r>
        <w:r>
          <w:rPr>
            <w:i/>
            <w:color w:val="0077CC"/>
            <w:sz w:val="20"/>
            <w:u w:val="single" w:color="0077CC"/>
          </w:rPr>
          <w:t>Ed.</w:t>
        </w:r>
        <w:r>
          <w:rPr>
            <w:i/>
            <w:color w:val="0077CC"/>
            <w:spacing w:val="8"/>
            <w:sz w:val="20"/>
            <w:u w:val="single" w:color="0077CC"/>
          </w:rPr>
          <w:t> </w:t>
        </w:r>
        <w:r>
          <w:rPr>
            <w:i/>
            <w:color w:val="0077CC"/>
            <w:sz w:val="20"/>
            <w:u w:val="single" w:color="0077CC"/>
          </w:rPr>
          <w:t>2d</w:t>
        </w:r>
        <w:r>
          <w:rPr>
            <w:i/>
            <w:color w:val="0077CC"/>
            <w:spacing w:val="8"/>
            <w:sz w:val="20"/>
            <w:u w:val="single" w:color="0077CC"/>
          </w:rPr>
          <w:t> </w:t>
        </w:r>
        <w:r>
          <w:rPr>
            <w:i/>
            <w:color w:val="0077CC"/>
            <w:sz w:val="20"/>
            <w:u w:val="single" w:color="0077CC"/>
          </w:rPr>
          <w:t>270</w:t>
        </w:r>
      </w:hyperlink>
      <w:r>
        <w:rPr>
          <w:sz w:val="20"/>
        </w:rPr>
        <w:t>.</w:t>
      </w:r>
      <w:bookmarkStart w:name="Bookmark_I5K0HTX35MM000PPC9P00009" w:id="114"/>
      <w:bookmarkEnd w:id="114"/>
      <w:r>
        <w:rPr>
          <w:sz w:val="20"/>
        </w:rPr>
      </w:r>
      <w:bookmarkStart w:name="Bookmark_I55CG8J52D6NV90010000400" w:id="115"/>
      <w:bookmarkEnd w:id="115"/>
      <w:r>
        <w:rPr>
          <w:sz w:val="20"/>
        </w:rPr>
      </w:r>
      <w:bookmarkStart w:name="Bookmark_LNHNREFclscc11" w:id="116"/>
      <w:bookmarkEnd w:id="116"/>
      <w:r>
        <w:rPr>
          <w:sz w:val="20"/>
        </w:rPr>
      </w:r>
      <w:r>
        <w:rPr>
          <w:spacing w:val="8"/>
          <w:sz w:val="20"/>
        </w:rPr>
        <w:t> </w:t>
      </w:r>
      <w:bookmarkStart w:name="Bookmark_LEDHN11_1" w:id="117"/>
      <w:bookmarkEnd w:id="117"/>
      <w:r>
        <w:rPr>
          <w:sz w:val="20"/>
        </w:rPr>
        <w:t>[11]</w:t>
      </w:r>
      <w:r>
        <w:rPr>
          <w:spacing w:val="8"/>
          <w:sz w:val="20"/>
        </w:rPr>
        <w:t> </w:t>
      </w:r>
      <w:r>
        <w:rPr>
          <w:sz w:val="20"/>
        </w:rPr>
        <w:t>Where</w:t>
      </w:r>
    </w:p>
    <w:p>
      <w:pPr>
        <w:spacing w:line="271" w:lineRule="auto" w:before="1"/>
        <w:ind w:left="100" w:right="38" w:firstLine="0"/>
        <w:jc w:val="both"/>
        <w:rPr>
          <w:sz w:val="20"/>
        </w:rPr>
      </w:pPr>
      <w:r>
        <w:rPr>
          <w:sz w:val="20"/>
        </w:rPr>
        <w:t>a statute provides that particular agency action </w:t>
      </w:r>
      <w:r>
        <w:rPr>
          <w:spacing w:val="-6"/>
          <w:sz w:val="20"/>
        </w:rPr>
        <w:t>is </w:t>
      </w:r>
      <w:r>
        <w:rPr>
          <w:sz w:val="20"/>
        </w:rPr>
        <w:t>reviewable at the instance of one party, who must </w:t>
      </w:r>
      <w:r>
        <w:rPr>
          <w:spacing w:val="-3"/>
          <w:sz w:val="20"/>
        </w:rPr>
        <w:t>first </w:t>
      </w:r>
      <w:r>
        <w:rPr>
          <w:sz w:val="20"/>
        </w:rPr>
        <w:t>exhaust administrative remedies, the inference that it </w:t>
      </w:r>
      <w:r>
        <w:rPr>
          <w:spacing w:val="-8"/>
          <w:sz w:val="20"/>
        </w:rPr>
        <w:t>is </w:t>
      </w:r>
      <w:r>
        <w:rPr>
          <w:sz w:val="20"/>
        </w:rPr>
        <w:t>not reviewable at the instance of other parties, who </w:t>
      </w:r>
      <w:r>
        <w:rPr>
          <w:spacing w:val="-4"/>
          <w:sz w:val="20"/>
        </w:rPr>
        <w:t>are </w:t>
      </w:r>
      <w:r>
        <w:rPr>
          <w:sz w:val="20"/>
        </w:rPr>
        <w:t>not </w:t>
      </w:r>
      <w:r>
        <w:rPr>
          <w:i/>
          <w:sz w:val="20"/>
        </w:rPr>
        <w:t>subject </w:t>
      </w:r>
      <w:r>
        <w:rPr>
          <w:sz w:val="20"/>
        </w:rPr>
        <w:t>to the administrative process, is strong.</w:t>
      </w:r>
      <w:bookmarkStart w:name="Bookmark_I55CG8J52D6NV90010000400_2" w:id="118"/>
      <w:bookmarkEnd w:id="118"/>
      <w:r>
        <w:rPr>
          <w:sz w:val="20"/>
        </w:rPr>
      </w:r>
      <w:bookmarkStart w:name="Bookmark_I55CG8J528T4JX0020000400_2" w:id="119"/>
      <w:bookmarkEnd w:id="119"/>
      <w:r>
        <w:rPr>
          <w:sz w:val="20"/>
        </w:rPr>
      </w:r>
      <w:r>
        <w:rPr>
          <w:sz w:val="20"/>
        </w:rPr>
        <w:t> </w:t>
      </w:r>
      <w:bookmarkStart w:name="Bookmark_I55CG8J52D6NV90030000400" w:id="120"/>
      <w:bookmarkEnd w:id="120"/>
      <w:r>
        <w:rPr>
          <w:spacing w:val="-8"/>
          <w:sz w:val="20"/>
        </w:rPr>
        <w:t>I</w:t>
      </w:r>
      <w:r>
        <w:rPr>
          <w:spacing w:val="-8"/>
          <w:sz w:val="20"/>
        </w:rPr>
        <w:t>n </w:t>
      </w:r>
      <w:bookmarkStart w:name="Bookmark_I55CG8J528T4JX0010000400" w:id="121"/>
      <w:bookmarkEnd w:id="121"/>
      <w:r>
        <w:rPr>
          <w:spacing w:val="-8"/>
          <w:sz w:val="20"/>
        </w:rPr>
      </w:r>
      <w:r>
        <w:rPr>
          <w:color w:val="0077CC"/>
          <w:spacing w:val="-8"/>
          <w:sz w:val="20"/>
          <w:u w:val="single" w:color="0077CC"/>
        </w:rPr>
        <w:t> </w:t>
      </w:r>
      <w:hyperlink r:id="rId29">
        <w:r>
          <w:rPr>
            <w:i/>
            <w:color w:val="0077CC"/>
            <w:sz w:val="20"/>
            <w:u w:val="single" w:color="0077CC"/>
          </w:rPr>
          <w:t>United States v. Erika, Inc., 456 U.S. 201, 102 S. Ct.</w:t>
        </w:r>
      </w:hyperlink>
      <w:hyperlink r:id="rId29">
        <w:r>
          <w:rPr>
            <w:i/>
            <w:color w:val="0077CC"/>
            <w:sz w:val="20"/>
            <w:u w:val="single" w:color="0077CC"/>
          </w:rPr>
          <w:t> </w:t>
        </w:r>
        <w:r>
          <w:rPr>
            <w:i/>
            <w:color w:val="0077CC"/>
            <w:sz w:val="20"/>
            <w:u w:val="single" w:color="0077CC"/>
          </w:rPr>
          <w:t>1650, 72 L. Ed. 2d 12 (1982)</w:t>
        </w:r>
      </w:hyperlink>
      <w:r>
        <w:rPr>
          <w:sz w:val="20"/>
        </w:rPr>
        <w:t>, we held that the Medicare statute, which expressly provided for judicial review </w:t>
      </w:r>
      <w:r>
        <w:rPr>
          <w:spacing w:val="-9"/>
          <w:sz w:val="20"/>
        </w:rPr>
        <w:t>of </w:t>
      </w:r>
      <w:r>
        <w:rPr>
          <w:sz w:val="20"/>
        </w:rPr>
        <w:t>awards under Part A, precluded review of awards </w:t>
      </w:r>
      <w:r>
        <w:rPr>
          <w:spacing w:val="-3"/>
          <w:sz w:val="20"/>
        </w:rPr>
        <w:t>under </w:t>
      </w:r>
      <w:r>
        <w:rPr>
          <w:sz w:val="20"/>
        </w:rPr>
        <w:t>Part B.</w:t>
      </w:r>
      <w:bookmarkStart w:name="Bookmark_I55CG8J528T4JX0030000400" w:id="122"/>
      <w:bookmarkEnd w:id="122"/>
      <w:r>
        <w:rPr>
          <w:sz w:val="20"/>
        </w:rPr>
      </w:r>
      <w:hyperlink r:id="rId29">
        <w:r>
          <w:rPr>
            <w:color w:val="0077CC"/>
            <w:sz w:val="20"/>
          </w:rPr>
          <w:t> </w:t>
        </w:r>
        <w:r>
          <w:rPr>
            <w:i/>
            <w:color w:val="0077CC"/>
            <w:sz w:val="20"/>
            <w:u w:val="single" w:color="0077CC"/>
          </w:rPr>
          <w:t>Id., at 206-208, 102 S. Ct. 1650, 72 L. Ed. 2d</w:t>
        </w:r>
        <w:r>
          <w:rPr>
            <w:i/>
            <w:color w:val="0077CC"/>
            <w:spacing w:val="13"/>
            <w:sz w:val="20"/>
            <w:u w:val="single" w:color="0077CC"/>
          </w:rPr>
          <w:t> </w:t>
        </w:r>
        <w:r>
          <w:rPr>
            <w:i/>
            <w:color w:val="0077CC"/>
            <w:spacing w:val="-4"/>
            <w:sz w:val="20"/>
            <w:u w:val="single" w:color="0077CC"/>
          </w:rPr>
          <w:t>12</w:t>
        </w:r>
      </w:hyperlink>
      <w:r>
        <w:rPr>
          <w:spacing w:val="-4"/>
          <w:sz w:val="20"/>
        </w:rPr>
        <w:t>.</w:t>
      </w:r>
    </w:p>
    <w:p>
      <w:pPr>
        <w:spacing w:line="271" w:lineRule="auto" w:before="1"/>
        <w:ind w:left="100" w:right="38" w:firstLine="0"/>
        <w:jc w:val="both"/>
        <w:rPr>
          <w:sz w:val="20"/>
        </w:rPr>
      </w:pPr>
      <w:bookmarkStart w:name="Bookmark_I55CG8J52D6NV90030000400_2" w:id="123"/>
      <w:bookmarkEnd w:id="123"/>
      <w:r>
        <w:rPr/>
      </w:r>
      <w:r>
        <w:rPr>
          <w:sz w:val="20"/>
        </w:rPr>
        <w:t>The strong parallel between the award provisions in </w:t>
      </w:r>
      <w:r>
        <w:rPr>
          <w:spacing w:val="-5"/>
          <w:sz w:val="20"/>
        </w:rPr>
        <w:t>Part </w:t>
      </w:r>
      <w:r>
        <w:rPr>
          <w:sz w:val="20"/>
        </w:rPr>
        <w:t>A and Part B of the Medicare statute does not </w:t>
      </w:r>
      <w:r>
        <w:rPr>
          <w:spacing w:val="-4"/>
          <w:sz w:val="20"/>
        </w:rPr>
        <w:t>exist </w:t>
      </w:r>
      <w:r>
        <w:rPr>
          <w:sz w:val="20"/>
        </w:rPr>
        <w:t>between the issuance of a compliance </w:t>
      </w:r>
      <w:r>
        <w:rPr>
          <w:b/>
          <w:sz w:val="20"/>
        </w:rPr>
        <w:t>[****17] </w:t>
      </w:r>
      <w:r>
        <w:rPr>
          <w:spacing w:val="-3"/>
          <w:sz w:val="20"/>
        </w:rPr>
        <w:t>order </w:t>
      </w:r>
      <w:r>
        <w:rPr>
          <w:sz w:val="20"/>
        </w:rPr>
        <w:t>and the assessment of administrative penalties </w:t>
      </w:r>
      <w:r>
        <w:rPr>
          <w:spacing w:val="-3"/>
          <w:sz w:val="20"/>
        </w:rPr>
        <w:t>under </w:t>
      </w:r>
      <w:r>
        <w:rPr>
          <w:sz w:val="20"/>
        </w:rPr>
        <w:t>the Clean Water Act. And in</w:t>
      </w:r>
      <w:bookmarkStart w:name="Bookmark_I55CG8J528T4JX0050000400" w:id="124"/>
      <w:bookmarkEnd w:id="124"/>
      <w:r>
        <w:rPr>
          <w:sz w:val="20"/>
        </w:rPr>
      </w:r>
      <w:r>
        <w:rPr>
          <w:sz w:val="20"/>
        </w:rPr>
        <w:t> </w:t>
      </w:r>
      <w:hyperlink r:id="rId30">
        <w:r>
          <w:rPr>
            <w:i/>
            <w:color w:val="0077CC"/>
            <w:sz w:val="20"/>
            <w:u w:val="single" w:color="0077CC"/>
          </w:rPr>
          <w:t>United States v. Fausto,</w:t>
        </w:r>
      </w:hyperlink>
      <w:r>
        <w:rPr>
          <w:i/>
          <w:color w:val="0077CC"/>
          <w:sz w:val="20"/>
        </w:rPr>
        <w:t> </w:t>
      </w:r>
      <w:hyperlink r:id="rId30">
        <w:r>
          <w:rPr>
            <w:i/>
            <w:color w:val="0077CC"/>
            <w:sz w:val="20"/>
            <w:u w:val="single" w:color="0077CC"/>
          </w:rPr>
          <w:t>484</w:t>
        </w:r>
        <w:r>
          <w:rPr>
            <w:i/>
            <w:color w:val="0077CC"/>
            <w:spacing w:val="13"/>
            <w:sz w:val="20"/>
            <w:u w:val="single" w:color="0077CC"/>
          </w:rPr>
          <w:t> </w:t>
        </w:r>
        <w:r>
          <w:rPr>
            <w:i/>
            <w:color w:val="0077CC"/>
            <w:sz w:val="20"/>
            <w:u w:val="single" w:color="0077CC"/>
          </w:rPr>
          <w:t>U.S.</w:t>
        </w:r>
        <w:r>
          <w:rPr>
            <w:i/>
            <w:color w:val="0077CC"/>
            <w:spacing w:val="14"/>
            <w:sz w:val="20"/>
            <w:u w:val="single" w:color="0077CC"/>
          </w:rPr>
          <w:t> </w:t>
        </w:r>
        <w:r>
          <w:rPr>
            <w:i/>
            <w:color w:val="0077CC"/>
            <w:sz w:val="20"/>
            <w:u w:val="single" w:color="0077CC"/>
          </w:rPr>
          <w:t>439,</w:t>
        </w:r>
        <w:r>
          <w:rPr>
            <w:i/>
            <w:color w:val="0077CC"/>
            <w:spacing w:val="14"/>
            <w:sz w:val="20"/>
            <w:u w:val="single" w:color="0077CC"/>
          </w:rPr>
          <w:t> </w:t>
        </w:r>
        <w:r>
          <w:rPr>
            <w:i/>
            <w:color w:val="0077CC"/>
            <w:sz w:val="20"/>
            <w:u w:val="single" w:color="0077CC"/>
          </w:rPr>
          <w:t>108</w:t>
        </w:r>
        <w:r>
          <w:rPr>
            <w:i/>
            <w:color w:val="0077CC"/>
            <w:spacing w:val="14"/>
            <w:sz w:val="20"/>
            <w:u w:val="single" w:color="0077CC"/>
          </w:rPr>
          <w:t> </w:t>
        </w:r>
        <w:r>
          <w:rPr>
            <w:i/>
            <w:color w:val="0077CC"/>
            <w:sz w:val="20"/>
            <w:u w:val="single" w:color="0077CC"/>
          </w:rPr>
          <w:t>S.</w:t>
        </w:r>
        <w:r>
          <w:rPr>
            <w:i/>
            <w:color w:val="0077CC"/>
            <w:spacing w:val="14"/>
            <w:sz w:val="20"/>
            <w:u w:val="single" w:color="0077CC"/>
          </w:rPr>
          <w:t> </w:t>
        </w:r>
        <w:r>
          <w:rPr>
            <w:i/>
            <w:color w:val="0077CC"/>
            <w:sz w:val="20"/>
            <w:u w:val="single" w:color="0077CC"/>
          </w:rPr>
          <w:t>Ct.</w:t>
        </w:r>
        <w:r>
          <w:rPr>
            <w:i/>
            <w:color w:val="0077CC"/>
            <w:spacing w:val="14"/>
            <w:sz w:val="20"/>
            <w:u w:val="single" w:color="0077CC"/>
          </w:rPr>
          <w:t> </w:t>
        </w:r>
        <w:r>
          <w:rPr>
            <w:i/>
            <w:color w:val="0077CC"/>
            <w:sz w:val="20"/>
            <w:u w:val="single" w:color="0077CC"/>
          </w:rPr>
          <w:t>668,</w:t>
        </w:r>
        <w:r>
          <w:rPr>
            <w:i/>
            <w:color w:val="0077CC"/>
            <w:spacing w:val="14"/>
            <w:sz w:val="20"/>
            <w:u w:val="single" w:color="0077CC"/>
          </w:rPr>
          <w:t> </w:t>
        </w:r>
        <w:r>
          <w:rPr>
            <w:i/>
            <w:color w:val="0077CC"/>
            <w:sz w:val="20"/>
            <w:u w:val="single" w:color="0077CC"/>
          </w:rPr>
          <w:t>98</w:t>
        </w:r>
        <w:r>
          <w:rPr>
            <w:i/>
            <w:color w:val="0077CC"/>
            <w:spacing w:val="14"/>
            <w:sz w:val="20"/>
            <w:u w:val="single" w:color="0077CC"/>
          </w:rPr>
          <w:t> </w:t>
        </w:r>
        <w:r>
          <w:rPr>
            <w:i/>
            <w:color w:val="0077CC"/>
            <w:sz w:val="20"/>
            <w:u w:val="single" w:color="0077CC"/>
          </w:rPr>
          <w:t>L.</w:t>
        </w:r>
        <w:r>
          <w:rPr>
            <w:i/>
            <w:color w:val="0077CC"/>
            <w:spacing w:val="14"/>
            <w:sz w:val="20"/>
            <w:u w:val="single" w:color="0077CC"/>
          </w:rPr>
          <w:t> </w:t>
        </w:r>
        <w:r>
          <w:rPr>
            <w:i/>
            <w:color w:val="0077CC"/>
            <w:sz w:val="20"/>
            <w:u w:val="single" w:color="0077CC"/>
          </w:rPr>
          <w:t>Ed.</w:t>
        </w:r>
        <w:r>
          <w:rPr>
            <w:i/>
            <w:color w:val="0077CC"/>
            <w:spacing w:val="14"/>
            <w:sz w:val="20"/>
            <w:u w:val="single" w:color="0077CC"/>
          </w:rPr>
          <w:t> </w:t>
        </w:r>
        <w:r>
          <w:rPr>
            <w:i/>
            <w:color w:val="0077CC"/>
            <w:sz w:val="20"/>
            <w:u w:val="single" w:color="0077CC"/>
          </w:rPr>
          <w:t>2d</w:t>
        </w:r>
        <w:r>
          <w:rPr>
            <w:i/>
            <w:color w:val="0077CC"/>
            <w:spacing w:val="14"/>
            <w:sz w:val="20"/>
            <w:u w:val="single" w:color="0077CC"/>
          </w:rPr>
          <w:t> </w:t>
        </w:r>
        <w:r>
          <w:rPr>
            <w:i/>
            <w:color w:val="0077CC"/>
            <w:sz w:val="20"/>
            <w:u w:val="single" w:color="0077CC"/>
          </w:rPr>
          <w:t>830</w:t>
        </w:r>
        <w:r>
          <w:rPr>
            <w:i/>
            <w:color w:val="0077CC"/>
            <w:spacing w:val="14"/>
            <w:sz w:val="20"/>
            <w:u w:val="single" w:color="0077CC"/>
          </w:rPr>
          <w:t> </w:t>
        </w:r>
        <w:r>
          <w:rPr>
            <w:i/>
            <w:color w:val="0077CC"/>
            <w:sz w:val="20"/>
            <w:u w:val="single" w:color="0077CC"/>
          </w:rPr>
          <w:t>(1988)</w:t>
        </w:r>
      </w:hyperlink>
      <w:r>
        <w:rPr>
          <w:sz w:val="20"/>
        </w:rPr>
        <w:t>,</w:t>
      </w:r>
    </w:p>
    <w:p>
      <w:pPr>
        <w:pStyle w:val="BodyText"/>
        <w:spacing w:line="271" w:lineRule="auto" w:before="94"/>
        <w:ind w:left="100" w:right="117"/>
        <w:jc w:val="both"/>
      </w:pPr>
      <w:r>
        <w:rPr/>
        <w:br w:type="column"/>
      </w:r>
      <w:r>
        <w:rPr/>
        <w:t>we held that the Civil Service Reform Act, </w:t>
      </w:r>
      <w:r>
        <w:rPr>
          <w:spacing w:val="-3"/>
        </w:rPr>
        <w:t>which </w:t>
      </w:r>
      <w:r>
        <w:rPr/>
        <w:t>expressly excluded certain "nonpreference" employees from the statute's review scheme, precluded review </w:t>
      </w:r>
      <w:r>
        <w:rPr>
          <w:spacing w:val="-8"/>
        </w:rPr>
        <w:t>at </w:t>
      </w:r>
      <w:r>
        <w:rPr/>
        <w:t>the instance of those employees in a separate </w:t>
      </w:r>
      <w:r>
        <w:rPr>
          <w:spacing w:val="-3"/>
        </w:rPr>
        <w:t>Claims </w:t>
      </w:r>
      <w:r>
        <w:rPr/>
        <w:t>Court action.</w:t>
      </w:r>
      <w:bookmarkStart w:name="Bookmark_I55CG8J52D6NV90030000400_3" w:id="125"/>
      <w:bookmarkEnd w:id="125"/>
      <w:r>
        <w:rPr/>
      </w:r>
      <w:bookmarkStart w:name="Bookmark_I55CG8J52D6NV90020000400" w:id="126"/>
      <w:bookmarkEnd w:id="126"/>
      <w:r>
        <w:rPr/>
      </w:r>
      <w:r>
        <w:rPr/>
        <w:t> </w:t>
      </w:r>
      <w:hyperlink r:id="rId30">
        <w:r>
          <w:rPr>
            <w:i/>
            <w:color w:val="0077CC"/>
            <w:u w:val="single" w:color="0077CC"/>
          </w:rPr>
          <w:t>Id., at 448-449, 108 S. Ct. 668, 98 L. </w:t>
        </w:r>
        <w:r>
          <w:rPr>
            <w:i/>
            <w:color w:val="0077CC"/>
            <w:spacing w:val="-4"/>
            <w:u w:val="single" w:color="0077CC"/>
          </w:rPr>
          <w:t>Ed.</w:t>
        </w:r>
      </w:hyperlink>
      <w:r>
        <w:rPr>
          <w:i/>
          <w:color w:val="0077CC"/>
          <w:spacing w:val="-4"/>
        </w:rPr>
        <w:t> </w:t>
      </w:r>
      <w:hyperlink r:id="rId30">
        <w:r>
          <w:rPr>
            <w:i/>
            <w:color w:val="0077CC"/>
            <w:u w:val="single" w:color="0077CC"/>
          </w:rPr>
          <w:t>2d 830</w:t>
        </w:r>
      </w:hyperlink>
      <w:r>
        <w:rPr/>
        <w:t>. Here, there is no suggestion that Congress has sought to exclude compliance-order recipients from </w:t>
      </w:r>
      <w:r>
        <w:rPr>
          <w:spacing w:val="-4"/>
        </w:rPr>
        <w:t>the </w:t>
      </w:r>
      <w:r>
        <w:rPr/>
        <w:t>Act's review scheme; quite to the contrary, </w:t>
      </w:r>
      <w:r>
        <w:rPr>
          <w:spacing w:val="-5"/>
        </w:rPr>
        <w:t>the </w:t>
      </w:r>
      <w:r>
        <w:rPr/>
        <w:t>Government's case is premised on the notion that </w:t>
      </w:r>
      <w:r>
        <w:rPr>
          <w:spacing w:val="-4"/>
        </w:rPr>
        <w:t>the </w:t>
      </w:r>
      <w:r>
        <w:rPr/>
        <w:t>Act's primary review mechanisms are open to </w:t>
      </w:r>
      <w:r>
        <w:rPr>
          <w:spacing w:val="-5"/>
        </w:rPr>
        <w:t>the </w:t>
      </w:r>
      <w:r>
        <w:rPr/>
        <w:t>Sacketts.</w:t>
      </w:r>
    </w:p>
    <w:p>
      <w:pPr>
        <w:pStyle w:val="BodyText"/>
        <w:spacing w:before="6"/>
        <w:rPr>
          <w:sz w:val="17"/>
        </w:rPr>
      </w:pPr>
    </w:p>
    <w:p>
      <w:pPr>
        <w:pStyle w:val="BodyText"/>
        <w:spacing w:line="271" w:lineRule="auto"/>
        <w:ind w:left="100" w:right="117"/>
        <w:jc w:val="both"/>
      </w:pPr>
      <w:bookmarkStart w:name="Bookmark_para_26" w:id="127"/>
      <w:bookmarkEnd w:id="127"/>
      <w:r>
        <w:rPr/>
      </w:r>
      <w:r>
        <w:rPr/>
        <w:t>Finally, the Government notes that Congress  </w:t>
      </w:r>
      <w:r>
        <w:rPr>
          <w:spacing w:val="-3"/>
        </w:rPr>
        <w:t>passed </w:t>
      </w:r>
      <w:r>
        <w:rPr/>
        <w:t>the Clean Water Act in large part to respond to</w:t>
      </w:r>
      <w:r>
        <w:rPr>
          <w:spacing w:val="32"/>
        </w:rPr>
        <w:t> </w:t>
      </w:r>
      <w:r>
        <w:rPr/>
        <w:t>the inefficiency of then-existing remedies for water </w:t>
      </w:r>
      <w:r>
        <w:rPr>
          <w:spacing w:val="-3"/>
        </w:rPr>
        <w:t>pollution. </w:t>
      </w:r>
      <w:r>
        <w:rPr/>
        <w:t>Compliance orders, as noted above, can obtain </w:t>
      </w:r>
      <w:r>
        <w:rPr>
          <w:spacing w:val="-3"/>
        </w:rPr>
        <w:t>quick </w:t>
      </w:r>
      <w:r>
        <w:rPr/>
        <w:t>remediation through voluntary compliance. </w:t>
      </w:r>
      <w:r>
        <w:rPr>
          <w:spacing w:val="-6"/>
        </w:rPr>
        <w:t>The </w:t>
      </w:r>
      <w:r>
        <w:rPr/>
        <w:t>Government warns that the EPA is less likely to use the orders if they are subject to judicial review. That may </w:t>
      </w:r>
      <w:r>
        <w:rPr>
          <w:spacing w:val="-6"/>
        </w:rPr>
        <w:t>be </w:t>
      </w:r>
      <w:r>
        <w:rPr/>
        <w:t>true--but it will be true for all agency actions subjected to judicial review.</w:t>
      </w:r>
      <w:bookmarkStart w:name="Bookmark_LNHNREFclscc12" w:id="128"/>
      <w:bookmarkEnd w:id="128"/>
      <w:r>
        <w:rPr/>
      </w:r>
      <w:r>
        <w:rPr/>
        <w:t> </w:t>
      </w:r>
      <w:bookmarkStart w:name="Bookmark_LEDHN12_1" w:id="129"/>
      <w:bookmarkEnd w:id="129"/>
      <w:r>
        <w:rPr/>
        <w:t>[12]</w:t>
      </w:r>
      <w:r>
        <w:rPr/>
        <w:t> The APA's </w:t>
      </w:r>
      <w:r>
        <w:rPr>
          <w:b/>
        </w:rPr>
        <w:t>[***377] </w:t>
      </w:r>
      <w:r>
        <w:rPr/>
        <w:t>presumption </w:t>
      </w:r>
      <w:r>
        <w:rPr>
          <w:spacing w:val="-8"/>
        </w:rPr>
        <w:t>of </w:t>
      </w:r>
      <w:r>
        <w:rPr/>
        <w:t>judicial review is a repudiation of the principle </w:t>
      </w:r>
      <w:r>
        <w:rPr>
          <w:spacing w:val="-4"/>
        </w:rPr>
        <w:t>that </w:t>
      </w:r>
      <w:r>
        <w:rPr/>
        <w:t>efficiency of regulation conquers </w:t>
      </w:r>
      <w:r>
        <w:rPr>
          <w:b/>
        </w:rPr>
        <w:t>[****18] </w:t>
      </w:r>
      <w:r>
        <w:rPr/>
        <w:t>all. And </w:t>
      </w:r>
      <w:r>
        <w:rPr>
          <w:spacing w:val="-3"/>
        </w:rPr>
        <w:t>there </w:t>
      </w:r>
      <w:r>
        <w:rPr/>
        <w:t>is no reason to think that the Clean Water Act </w:t>
      </w:r>
      <w:r>
        <w:rPr>
          <w:spacing w:val="-4"/>
        </w:rPr>
        <w:t>was </w:t>
      </w:r>
      <w:r>
        <w:rPr/>
        <w:t>uniquely </w:t>
      </w:r>
      <w:r>
        <w:rPr>
          <w:b/>
        </w:rPr>
        <w:t>[*131]  </w:t>
      </w:r>
      <w:r>
        <w:rPr/>
        <w:t>designed to enable the strong-arming  of regulated parties into "voluntary compliance" </w:t>
      </w:r>
      <w:r>
        <w:rPr>
          <w:spacing w:val="-3"/>
        </w:rPr>
        <w:t>without </w:t>
      </w:r>
      <w:r>
        <w:rPr/>
        <w:t>the opportunity for judicial review--even judicial </w:t>
      </w:r>
      <w:r>
        <w:rPr>
          <w:spacing w:val="-3"/>
        </w:rPr>
        <w:t>review  </w:t>
      </w:r>
      <w:r>
        <w:rPr/>
        <w:t>of the question whether the regulated party is within </w:t>
      </w:r>
      <w:r>
        <w:rPr>
          <w:spacing w:val="-4"/>
        </w:rPr>
        <w:t>the </w:t>
      </w:r>
      <w:r>
        <w:rPr/>
        <w:t>EPA's jurisdiction. Compliance orders will remain </w:t>
      </w:r>
      <w:r>
        <w:rPr>
          <w:spacing w:val="-8"/>
        </w:rPr>
        <w:t>an </w:t>
      </w:r>
      <w:r>
        <w:rPr/>
        <w:t>effective means of securing prompt voluntary compliance in those many cases where there is </w:t>
      </w:r>
      <w:r>
        <w:rPr>
          <w:spacing w:val="-7"/>
        </w:rPr>
        <w:t>no </w:t>
      </w:r>
      <w:r>
        <w:rPr/>
        <w:t>substantial basis to question their</w:t>
      </w:r>
      <w:r>
        <w:rPr>
          <w:spacing w:val="-1"/>
        </w:rPr>
        <w:t> </w:t>
      </w:r>
      <w:r>
        <w:rPr/>
        <w:t>validity.</w:t>
      </w:r>
    </w:p>
    <w:p>
      <w:pPr>
        <w:pStyle w:val="BodyText"/>
        <w:spacing w:before="7"/>
        <w:rPr>
          <w:sz w:val="17"/>
        </w:rPr>
      </w:pPr>
    </w:p>
    <w:p>
      <w:pPr>
        <w:pStyle w:val="BodyText"/>
        <w:ind w:left="100"/>
      </w:pPr>
      <w:bookmarkStart w:name="Bookmark_para_27" w:id="130"/>
      <w:bookmarkEnd w:id="130"/>
      <w:r>
        <w:rPr/>
      </w:r>
      <w:r>
        <w:rPr/>
        <w:t>* * *</w:t>
      </w:r>
    </w:p>
    <w:p>
      <w:pPr>
        <w:pStyle w:val="BodyText"/>
      </w:pPr>
    </w:p>
    <w:p>
      <w:pPr>
        <w:pStyle w:val="BodyText"/>
        <w:spacing w:line="271" w:lineRule="auto"/>
        <w:ind w:left="100" w:right="117"/>
        <w:jc w:val="both"/>
      </w:pPr>
      <w:bookmarkStart w:name="Bookmark_para_28" w:id="131"/>
      <w:bookmarkEnd w:id="131"/>
      <w:r>
        <w:rPr/>
      </w:r>
      <w:r>
        <w:rPr/>
        <w:t>We conclude that the compliance order in this case </w:t>
      </w:r>
      <w:r>
        <w:rPr>
          <w:spacing w:val="-7"/>
        </w:rPr>
        <w:t>is </w:t>
      </w:r>
      <w:r>
        <w:rPr/>
        <w:t>final agency action for which there is no adequate remedy other than APA review, and that the </w:t>
      </w:r>
      <w:r>
        <w:rPr>
          <w:spacing w:val="-3"/>
        </w:rPr>
        <w:t>Clean </w:t>
      </w:r>
      <w:r>
        <w:rPr/>
        <w:t>Water Act does not preclude that review. We therefore reverse the judgment of the Court of Appeals </w:t>
      </w:r>
      <w:r>
        <w:rPr>
          <w:spacing w:val="-5"/>
        </w:rPr>
        <w:t>and </w:t>
      </w:r>
      <w:r>
        <w:rPr/>
        <w:t>remand the case for further proceedings consistent with this opinion.</w:t>
      </w:r>
    </w:p>
    <w:p>
      <w:pPr>
        <w:pStyle w:val="BodyText"/>
        <w:spacing w:before="5"/>
        <w:rPr>
          <w:sz w:val="17"/>
        </w:rPr>
      </w:pPr>
    </w:p>
    <w:p>
      <w:pPr>
        <w:spacing w:before="0"/>
        <w:ind w:left="100" w:right="0" w:firstLine="0"/>
        <w:jc w:val="left"/>
        <w:rPr>
          <w:i/>
          <w:sz w:val="20"/>
        </w:rPr>
      </w:pPr>
      <w:bookmarkStart w:name="Bookmark_para_29" w:id="132"/>
      <w:bookmarkEnd w:id="132"/>
      <w:r>
        <w:rPr/>
      </w:r>
      <w:r>
        <w:rPr>
          <w:i/>
          <w:sz w:val="20"/>
        </w:rPr>
        <w:t>It is so ordered.</w:t>
      </w:r>
    </w:p>
    <w:p>
      <w:pPr>
        <w:pStyle w:val="BodyText"/>
        <w:spacing w:before="6"/>
        <w:rPr>
          <w:i/>
          <w:sz w:val="23"/>
        </w:rPr>
      </w:pPr>
    </w:p>
    <w:p>
      <w:pPr>
        <w:spacing w:before="0"/>
        <w:ind w:left="100" w:right="0" w:firstLine="0"/>
        <w:jc w:val="left"/>
        <w:rPr>
          <w:sz w:val="20"/>
        </w:rPr>
      </w:pPr>
      <w:bookmarkStart w:name="Concur by" w:id="133"/>
      <w:bookmarkEnd w:id="133"/>
      <w:r>
        <w:rPr/>
      </w:r>
      <w:r>
        <w:rPr>
          <w:b/>
          <w:sz w:val="20"/>
        </w:rPr>
        <w:t>Concur by: </w:t>
      </w:r>
      <w:r>
        <w:rPr>
          <w:sz w:val="20"/>
        </w:rPr>
        <w:t>Ginsburg; Alito</w:t>
      </w:r>
    </w:p>
    <w:p>
      <w:pPr>
        <w:pStyle w:val="BodyText"/>
        <w:spacing w:before="5"/>
        <w:rPr>
          <w:sz w:val="22"/>
        </w:rPr>
      </w:pPr>
    </w:p>
    <w:p>
      <w:pPr>
        <w:pStyle w:val="Heading1"/>
      </w:pPr>
      <w:bookmarkStart w:name="Concur" w:id="134"/>
      <w:bookmarkEnd w:id="134"/>
      <w:r>
        <w:rPr>
          <w:b w:val="0"/>
        </w:rPr>
      </w:r>
      <w:r>
        <w:rPr/>
        <w:t>Concur</w:t>
      </w:r>
    </w:p>
    <w:p>
      <w:pPr>
        <w:pStyle w:val="BodyText"/>
        <w:spacing w:line="40" w:lineRule="exact"/>
        <w:ind w:left="80"/>
        <w:rPr>
          <w:sz w:val="4"/>
        </w:rPr>
      </w:pPr>
      <w:r>
        <w:rPr>
          <w:position w:val="0"/>
          <w:sz w:val="4"/>
        </w:rPr>
        <w:pict>
          <v:group style="width:251pt;height:2pt;mso-position-horizontal-relative:char;mso-position-vertical-relative:line" coordorigin="0,0" coordsize="5020,40">
            <v:line style="position:absolute" from="0,20" to="5020,20" stroked="true" strokeweight="2pt" strokecolor="#009ddb">
              <v:stroke dashstyle="solid"/>
            </v:line>
          </v:group>
        </w:pict>
      </w:r>
      <w:r>
        <w:rPr>
          <w:position w:val="0"/>
          <w:sz w:val="4"/>
        </w:rPr>
      </w:r>
    </w:p>
    <w:p>
      <w:pPr>
        <w:pStyle w:val="BodyText"/>
        <w:rPr>
          <w:b/>
          <w:sz w:val="30"/>
        </w:rPr>
      </w:pPr>
    </w:p>
    <w:p>
      <w:pPr>
        <w:spacing w:before="240"/>
        <w:ind w:left="100" w:right="0" w:firstLine="0"/>
        <w:jc w:val="left"/>
        <w:rPr>
          <w:sz w:val="20"/>
        </w:rPr>
      </w:pPr>
      <w:bookmarkStart w:name="Bookmark_para_30" w:id="135"/>
      <w:bookmarkEnd w:id="135"/>
      <w:r>
        <w:rPr/>
      </w:r>
      <w:r>
        <w:rPr>
          <w:sz w:val="20"/>
        </w:rPr>
        <w:t>Justice </w:t>
      </w:r>
      <w:r>
        <w:rPr>
          <w:b/>
          <w:sz w:val="20"/>
        </w:rPr>
        <w:t>Ginsburg</w:t>
      </w:r>
      <w:r>
        <w:rPr>
          <w:sz w:val="20"/>
        </w:rPr>
        <w:t>, concurring.</w:t>
      </w:r>
    </w:p>
    <w:p>
      <w:pPr>
        <w:pStyle w:val="BodyText"/>
      </w:pPr>
    </w:p>
    <w:p>
      <w:pPr>
        <w:pStyle w:val="BodyText"/>
        <w:ind w:left="100"/>
      </w:pPr>
      <w:bookmarkStart w:name="Bookmark_para_31" w:id="136"/>
      <w:bookmarkEnd w:id="136"/>
      <w:r>
        <w:rPr/>
      </w:r>
      <w:r>
        <w:rPr/>
        <w:t>Faced with an EPA administrative compliance order</w:t>
      </w:r>
    </w:p>
    <w:p>
      <w:pPr>
        <w:spacing w:after="0"/>
        <w:sectPr>
          <w:type w:val="continuous"/>
          <w:pgSz w:w="12240" w:h="15840"/>
          <w:pgMar w:top="1300" w:bottom="280" w:left="900" w:right="880"/>
          <w:cols w:num="2" w:equalWidth="0">
            <w:col w:w="5141" w:space="99"/>
            <w:col w:w="5220"/>
          </w:cols>
        </w:sectPr>
      </w:pPr>
    </w:p>
    <w:p>
      <w:pPr>
        <w:pStyle w:val="BodyText"/>
        <w:spacing w:before="6"/>
        <w:rPr>
          <w:sz w:val="17"/>
        </w:rPr>
      </w:pPr>
    </w:p>
    <w:p>
      <w:pPr>
        <w:spacing w:after="0"/>
        <w:rPr>
          <w:sz w:val="17"/>
        </w:rPr>
        <w:sectPr>
          <w:headerReference w:type="default" r:id="rId31"/>
          <w:pgSz w:w="12240" w:h="15840"/>
          <w:pgMar w:header="407" w:footer="0" w:top="900" w:bottom="280" w:left="900" w:right="880"/>
        </w:sectPr>
      </w:pPr>
    </w:p>
    <w:p>
      <w:pPr>
        <w:pStyle w:val="BodyText"/>
        <w:spacing w:line="271" w:lineRule="auto" w:before="94"/>
        <w:ind w:left="100" w:right="38"/>
        <w:jc w:val="both"/>
      </w:pPr>
      <w:r>
        <w:rPr/>
        <w:t>threatening tens of thousands of dollars in civil penalties per day, the Sacketts sued "to contest the jurisdictional bases for the order." Brief for Petitioners 9. "As a logical prerequisite to the issuance of the challenged compliance order," the Sacketts contend, "EPA had </w:t>
      </w:r>
      <w:r>
        <w:rPr>
          <w:spacing w:val="-9"/>
        </w:rPr>
        <w:t>to </w:t>
      </w:r>
      <w:r>
        <w:rPr/>
        <w:t>determine </w:t>
      </w:r>
      <w:r>
        <w:rPr>
          <w:b/>
        </w:rPr>
        <w:t>[****19] </w:t>
      </w:r>
      <w:r>
        <w:rPr/>
        <w:t>that it has regulatory authority </w:t>
      </w:r>
      <w:r>
        <w:rPr>
          <w:spacing w:val="-4"/>
        </w:rPr>
        <w:t>over </w:t>
      </w:r>
      <w:r>
        <w:rPr/>
        <w:t>[our] property." </w:t>
      </w:r>
      <w:r>
        <w:rPr>
          <w:i/>
        </w:rPr>
        <w:t>Id.</w:t>
      </w:r>
      <w:r>
        <w:rPr/>
        <w:t>, at 54-55. The Court holds that </w:t>
      </w:r>
      <w:r>
        <w:rPr>
          <w:spacing w:val="-6"/>
        </w:rPr>
        <w:t>the </w:t>
      </w:r>
      <w:r>
        <w:rPr/>
        <w:t>Sacketts may immediately litigate their jurisdictional challenge in federal court. I agree, for the Agency </w:t>
      </w:r>
      <w:r>
        <w:rPr>
          <w:spacing w:val="-4"/>
        </w:rPr>
        <w:t>has </w:t>
      </w:r>
      <w:r>
        <w:rPr/>
        <w:t>ruled definitively on that question. Whether the Sacketts could challenge not only the EPA's authority to regulate their land under the Clean Water Act, but also, at </w:t>
      </w:r>
      <w:r>
        <w:rPr>
          <w:spacing w:val="-5"/>
        </w:rPr>
        <w:t>this </w:t>
      </w:r>
      <w:r>
        <w:rPr/>
        <w:t>preenforcement stage, the terms and conditions of </w:t>
      </w:r>
      <w:r>
        <w:rPr>
          <w:spacing w:val="-5"/>
        </w:rPr>
        <w:t>the </w:t>
      </w:r>
      <w:r>
        <w:rPr/>
        <w:t>compliance order, is </w:t>
      </w:r>
      <w:r>
        <w:rPr>
          <w:b/>
        </w:rPr>
        <w:t>[**1375] </w:t>
      </w:r>
      <w:r>
        <w:rPr/>
        <w:t>a question  today's  opinion does not reach out to resolve. Not raised by </w:t>
      </w:r>
      <w:r>
        <w:rPr>
          <w:spacing w:val="-4"/>
        </w:rPr>
        <w:t>the </w:t>
      </w:r>
      <w:r>
        <w:rPr/>
        <w:t>Sacketts here, the question remains open for </w:t>
      </w:r>
      <w:r>
        <w:rPr>
          <w:spacing w:val="-3"/>
        </w:rPr>
        <w:t>another </w:t>
      </w:r>
      <w:r>
        <w:rPr/>
        <w:t>day and case. On that understanding, I join the Court's opinion.</w:t>
      </w:r>
    </w:p>
    <w:p>
      <w:pPr>
        <w:pStyle w:val="BodyText"/>
        <w:spacing w:before="7"/>
        <w:rPr>
          <w:sz w:val="17"/>
        </w:rPr>
      </w:pPr>
    </w:p>
    <w:p>
      <w:pPr>
        <w:spacing w:before="0"/>
        <w:ind w:left="155" w:right="0" w:firstLine="0"/>
        <w:jc w:val="both"/>
        <w:rPr>
          <w:sz w:val="20"/>
        </w:rPr>
      </w:pPr>
      <w:bookmarkStart w:name="Bookmark_para_32" w:id="137"/>
      <w:bookmarkEnd w:id="137"/>
      <w:r>
        <w:rPr/>
      </w:r>
      <w:r>
        <w:rPr>
          <w:b/>
          <w:sz w:val="20"/>
        </w:rPr>
        <w:t>[*132] </w:t>
      </w:r>
      <w:r>
        <w:rPr>
          <w:sz w:val="20"/>
        </w:rPr>
        <w:t>Justice </w:t>
      </w:r>
      <w:r>
        <w:rPr>
          <w:b/>
          <w:sz w:val="20"/>
        </w:rPr>
        <w:t>Alito</w:t>
      </w:r>
      <w:r>
        <w:rPr>
          <w:sz w:val="20"/>
        </w:rPr>
        <w:t>, concurring.</w:t>
      </w:r>
    </w:p>
    <w:p>
      <w:pPr>
        <w:pStyle w:val="BodyText"/>
      </w:pPr>
    </w:p>
    <w:p>
      <w:pPr>
        <w:pStyle w:val="BodyText"/>
        <w:spacing w:line="271" w:lineRule="auto"/>
        <w:ind w:left="100" w:right="38"/>
        <w:jc w:val="both"/>
      </w:pPr>
      <w:bookmarkStart w:name="Bookmark_para_33" w:id="138"/>
      <w:bookmarkEnd w:id="138"/>
      <w:r>
        <w:rPr/>
      </w:r>
      <w:r>
        <w:rPr/>
        <w:t>The position taken in this case by the Federal Government--a position that the Court now squarely rejects--would have put the property rights of ordinary Americans entirely at the mercy of Environmental Protection Agency (EPA) employees.</w:t>
      </w:r>
    </w:p>
    <w:p>
      <w:pPr>
        <w:pStyle w:val="BodyText"/>
        <w:spacing w:before="5"/>
        <w:rPr>
          <w:sz w:val="17"/>
        </w:rPr>
      </w:pPr>
    </w:p>
    <w:p>
      <w:pPr>
        <w:pStyle w:val="BodyText"/>
        <w:spacing w:line="271" w:lineRule="auto"/>
        <w:ind w:left="100" w:right="38"/>
        <w:jc w:val="both"/>
      </w:pPr>
      <w:bookmarkStart w:name="Bookmark_para_34" w:id="139"/>
      <w:bookmarkEnd w:id="139"/>
      <w:r>
        <w:rPr/>
      </w:r>
      <w:r>
        <w:rPr/>
        <w:t>The reach of the Clean Water Act is notoriously unclear. Any piece of land that is wet at least part of the year </w:t>
      </w:r>
      <w:r>
        <w:rPr>
          <w:spacing w:val="-9"/>
        </w:rPr>
        <w:t>is  </w:t>
      </w:r>
      <w:r>
        <w:rPr/>
        <w:t>in danger of being classified by EPA employees </w:t>
      </w:r>
      <w:r>
        <w:rPr>
          <w:spacing w:val="-8"/>
        </w:rPr>
        <w:t>as </w:t>
      </w:r>
      <w:r>
        <w:rPr/>
        <w:t>wetlands covered by the Act, and according to </w:t>
      </w:r>
      <w:r>
        <w:rPr>
          <w:spacing w:val="-5"/>
        </w:rPr>
        <w:t>the </w:t>
      </w:r>
      <w:r>
        <w:rPr/>
        <w:t>Federal Government, if property owners begin </w:t>
      </w:r>
      <w:r>
        <w:rPr>
          <w:spacing w:val="-9"/>
        </w:rPr>
        <w:t>to </w:t>
      </w:r>
      <w:r>
        <w:rPr/>
        <w:t>construct a home on a lot that </w:t>
      </w:r>
      <w:r>
        <w:rPr>
          <w:b/>
        </w:rPr>
        <w:t>[****20] </w:t>
      </w:r>
      <w:r>
        <w:rPr/>
        <w:t>the Agency  thinks possesses the requisite wetness, the </w:t>
      </w:r>
      <w:r>
        <w:rPr>
          <w:spacing w:val="-3"/>
        </w:rPr>
        <w:t>property </w:t>
      </w:r>
      <w:r>
        <w:rPr/>
        <w:t>owners are at the Agency's mercy. The EPA may </w:t>
      </w:r>
      <w:r>
        <w:rPr>
          <w:spacing w:val="-3"/>
        </w:rPr>
        <w:t>issue </w:t>
      </w:r>
      <w:r>
        <w:rPr/>
        <w:t>a compliance order demanding that the owners </w:t>
      </w:r>
      <w:r>
        <w:rPr>
          <w:spacing w:val="-3"/>
        </w:rPr>
        <w:t>cease </w:t>
      </w:r>
      <w:r>
        <w:rPr/>
        <w:t>construction, engage in expensive remedial measures, and abandon any use of the property. If the owners do not</w:t>
      </w:r>
      <w:r>
        <w:rPr>
          <w:spacing w:val="7"/>
        </w:rPr>
        <w:t> </w:t>
      </w:r>
      <w:r>
        <w:rPr/>
        <w:t>do</w:t>
      </w:r>
      <w:r>
        <w:rPr>
          <w:spacing w:val="7"/>
        </w:rPr>
        <w:t> </w:t>
      </w:r>
      <w:r>
        <w:rPr/>
        <w:t>the</w:t>
      </w:r>
      <w:r>
        <w:rPr>
          <w:spacing w:val="6"/>
        </w:rPr>
        <w:t> </w:t>
      </w:r>
      <w:r>
        <w:rPr/>
        <w:t>EPA's</w:t>
      </w:r>
      <w:r>
        <w:rPr>
          <w:spacing w:val="7"/>
        </w:rPr>
        <w:t> </w:t>
      </w:r>
      <w:r>
        <w:rPr/>
        <w:t>bidding,</w:t>
      </w:r>
      <w:r>
        <w:rPr>
          <w:spacing w:val="6"/>
        </w:rPr>
        <w:t> </w:t>
      </w:r>
      <w:r>
        <w:rPr/>
        <w:t>they</w:t>
      </w:r>
      <w:r>
        <w:rPr>
          <w:spacing w:val="7"/>
        </w:rPr>
        <w:t> </w:t>
      </w:r>
      <w:r>
        <w:rPr/>
        <w:t>may</w:t>
      </w:r>
      <w:r>
        <w:rPr>
          <w:spacing w:val="7"/>
        </w:rPr>
        <w:t> </w:t>
      </w:r>
      <w:r>
        <w:rPr/>
        <w:t>be</w:t>
      </w:r>
      <w:r>
        <w:rPr>
          <w:spacing w:val="7"/>
        </w:rPr>
        <w:t> </w:t>
      </w:r>
      <w:r>
        <w:rPr/>
        <w:t>fined</w:t>
      </w:r>
      <w:r>
        <w:rPr>
          <w:spacing w:val="7"/>
        </w:rPr>
        <w:t> </w:t>
      </w:r>
      <w:r>
        <w:rPr/>
        <w:t>up</w:t>
      </w:r>
      <w:r>
        <w:rPr>
          <w:spacing w:val="7"/>
        </w:rPr>
        <w:t> </w:t>
      </w:r>
      <w:r>
        <w:rPr>
          <w:spacing w:val="-8"/>
        </w:rPr>
        <w:t>to</w:t>
      </w:r>
    </w:p>
    <w:p>
      <w:pPr>
        <w:pStyle w:val="BodyText"/>
        <w:spacing w:line="271" w:lineRule="auto" w:before="1"/>
        <w:ind w:left="100" w:right="38"/>
        <w:jc w:val="both"/>
      </w:pPr>
      <w:r>
        <w:rPr/>
        <w:t>$75,000 per day ($37,500 for violating the Act </w:t>
      </w:r>
      <w:r>
        <w:rPr>
          <w:spacing w:val="-4"/>
        </w:rPr>
        <w:t>and </w:t>
      </w:r>
      <w:r>
        <w:rPr/>
        <w:t>another $37,500 for violating the compliance order). </w:t>
      </w:r>
      <w:r>
        <w:rPr>
          <w:spacing w:val="-6"/>
        </w:rPr>
        <w:t>And </w:t>
      </w:r>
      <w:r>
        <w:rPr/>
        <w:t>if the owners want their day in court to </w:t>
      </w:r>
      <w:r>
        <w:rPr>
          <w:b/>
        </w:rPr>
        <w:t>[***378] </w:t>
      </w:r>
      <w:r>
        <w:rPr>
          <w:spacing w:val="-3"/>
        </w:rPr>
        <w:t>show </w:t>
      </w:r>
      <w:r>
        <w:rPr/>
        <w:t>that their lot does not include covered wetlands, well, as a practical matter, that is just too bad. Until the EPA sues them, they are blocked from access to the </w:t>
      </w:r>
      <w:r>
        <w:rPr>
          <w:spacing w:val="-3"/>
        </w:rPr>
        <w:t>courts, </w:t>
      </w:r>
      <w:r>
        <w:rPr/>
        <w:t>and the EPA may wait as long as it wants </w:t>
      </w:r>
      <w:r>
        <w:rPr>
          <w:spacing w:val="-3"/>
        </w:rPr>
        <w:t>before </w:t>
      </w:r>
      <w:r>
        <w:rPr/>
        <w:t>deciding to sue. By that time, the potential fines </w:t>
      </w:r>
      <w:r>
        <w:rPr>
          <w:spacing w:val="-6"/>
        </w:rPr>
        <w:t>may </w:t>
      </w:r>
      <w:r>
        <w:rPr/>
        <w:t>easily have reached the millions. In a Nation that </w:t>
      </w:r>
      <w:r>
        <w:rPr>
          <w:spacing w:val="-3"/>
        </w:rPr>
        <w:t>values </w:t>
      </w:r>
      <w:r>
        <w:rPr/>
        <w:t>due process, not to mention private property, </w:t>
      </w:r>
      <w:r>
        <w:rPr>
          <w:spacing w:val="-4"/>
        </w:rPr>
        <w:t>such </w:t>
      </w:r>
      <w:r>
        <w:rPr/>
        <w:t>treatment is unthinkable.</w:t>
      </w:r>
    </w:p>
    <w:p>
      <w:pPr>
        <w:pStyle w:val="BodyText"/>
        <w:spacing w:before="6"/>
        <w:rPr>
          <w:sz w:val="17"/>
        </w:rPr>
      </w:pPr>
    </w:p>
    <w:p>
      <w:pPr>
        <w:pStyle w:val="BodyText"/>
        <w:spacing w:line="271" w:lineRule="auto"/>
        <w:ind w:left="100" w:right="38"/>
        <w:jc w:val="both"/>
      </w:pPr>
      <w:bookmarkStart w:name="Bookmark_para_35" w:id="140"/>
      <w:bookmarkEnd w:id="140"/>
      <w:r>
        <w:rPr/>
      </w:r>
      <w:r>
        <w:rPr/>
        <w:t>The Court's decision provides a modest measure of relief. At least, property owners like petitioners will have</w:t>
      </w:r>
    </w:p>
    <w:p>
      <w:pPr>
        <w:pStyle w:val="BodyText"/>
        <w:spacing w:line="271" w:lineRule="auto" w:before="94"/>
        <w:ind w:left="100" w:right="117"/>
        <w:jc w:val="both"/>
      </w:pPr>
      <w:r>
        <w:rPr/>
        <w:br w:type="column"/>
      </w:r>
      <w:r>
        <w:rPr/>
        <w:t>the right to challenge the EPA's jurisdictional determination under the Administrative Procedure </w:t>
      </w:r>
      <w:r>
        <w:rPr>
          <w:spacing w:val="-4"/>
        </w:rPr>
        <w:t>Act. </w:t>
      </w:r>
      <w:r>
        <w:rPr/>
        <w:t>But the combination of the uncertain reach of the </w:t>
      </w:r>
      <w:r>
        <w:rPr>
          <w:spacing w:val="-4"/>
        </w:rPr>
        <w:t>Clean </w:t>
      </w:r>
      <w:r>
        <w:rPr/>
        <w:t>Water Act and the draconian penalties  imposed  </w:t>
      </w:r>
      <w:r>
        <w:rPr>
          <w:b/>
        </w:rPr>
        <w:t>[****21] </w:t>
      </w:r>
      <w:r>
        <w:rPr/>
        <w:t>for the sort of violations alleged in this case still leaves most property owners with little practical alternative but to dance to the EPA's</w:t>
      </w:r>
      <w:r>
        <w:rPr>
          <w:spacing w:val="-1"/>
        </w:rPr>
        <w:t> </w:t>
      </w:r>
      <w:r>
        <w:rPr/>
        <w:t>tune.</w:t>
      </w:r>
    </w:p>
    <w:p>
      <w:pPr>
        <w:pStyle w:val="BodyText"/>
        <w:spacing w:before="5"/>
        <w:rPr>
          <w:sz w:val="17"/>
        </w:rPr>
      </w:pPr>
    </w:p>
    <w:p>
      <w:pPr>
        <w:pStyle w:val="BodyText"/>
        <w:spacing w:line="271" w:lineRule="auto"/>
        <w:ind w:left="100" w:right="117" w:firstLine="55"/>
        <w:jc w:val="both"/>
        <w:rPr>
          <w:i/>
        </w:rPr>
      </w:pPr>
      <w:bookmarkStart w:name="Bookmark_para_36" w:id="141"/>
      <w:bookmarkEnd w:id="141"/>
      <w:r>
        <w:rPr/>
      </w:r>
      <w:r>
        <w:rPr>
          <w:b/>
        </w:rPr>
        <w:t>[*133] </w:t>
      </w:r>
      <w:r>
        <w:rPr/>
        <w:t>Real relief requires Congress to do what </w:t>
      </w:r>
      <w:r>
        <w:rPr>
          <w:spacing w:val="-7"/>
        </w:rPr>
        <w:t>it </w:t>
      </w:r>
      <w:r>
        <w:rPr/>
        <w:t>should have done in the first place: provide </w:t>
      </w:r>
      <w:r>
        <w:rPr>
          <w:spacing w:val="-12"/>
        </w:rPr>
        <w:t>a</w:t>
      </w:r>
      <w:r>
        <w:rPr>
          <w:spacing w:val="31"/>
        </w:rPr>
        <w:t> </w:t>
      </w:r>
      <w:r>
        <w:rPr/>
        <w:t>reasonably clear rule regarding the reach of the </w:t>
      </w:r>
      <w:r>
        <w:rPr>
          <w:spacing w:val="-3"/>
        </w:rPr>
        <w:t>Clean </w:t>
      </w:r>
      <w:r>
        <w:rPr/>
        <w:t>Water Act. When Congress passed the Clean Water </w:t>
      </w:r>
      <w:r>
        <w:rPr>
          <w:spacing w:val="-5"/>
        </w:rPr>
        <w:t>Act </w:t>
      </w:r>
      <w:r>
        <w:rPr/>
        <w:t>in 1972, it provided that the Act covers "the waters </w:t>
      </w:r>
      <w:r>
        <w:rPr>
          <w:spacing w:val="-8"/>
        </w:rPr>
        <w:t>of  </w:t>
      </w:r>
      <w:r>
        <w:rPr/>
        <w:t>the United States." </w:t>
      </w:r>
      <w:hyperlink r:id="rId18">
        <w:r>
          <w:rPr>
            <w:i/>
            <w:color w:val="0077CC"/>
            <w:u w:val="single" w:color="0077CC"/>
          </w:rPr>
          <w:t>33 U. S. C. § 1362(7)</w:t>
        </w:r>
      </w:hyperlink>
      <w:r>
        <w:rPr/>
        <w:t>. But </w:t>
      </w:r>
      <w:r>
        <w:rPr>
          <w:spacing w:val="-3"/>
        </w:rPr>
        <w:t>Congress </w:t>
      </w:r>
      <w:r>
        <w:rPr/>
        <w:t>did not define what it meant by "the waters of the United States"; the phrase was not a term of art with a known meaning; and the words themselves are hopelessly indeterminate. Unsurprisingly, the EPA and the</w:t>
      </w:r>
      <w:r>
        <w:rPr>
          <w:spacing w:val="37"/>
        </w:rPr>
        <w:t> </w:t>
      </w:r>
      <w:r>
        <w:rPr>
          <w:spacing w:val="-3"/>
        </w:rPr>
        <w:t>Army </w:t>
      </w:r>
      <w:r>
        <w:rPr/>
        <w:t>Corps of Engineers interpreted the phrase as </w:t>
      </w:r>
      <w:r>
        <w:rPr>
          <w:spacing w:val="-8"/>
        </w:rPr>
        <w:t>an </w:t>
      </w:r>
      <w:r>
        <w:rPr/>
        <w:t>essentially limitless grant of authority. We rejected </w:t>
      </w:r>
      <w:r>
        <w:rPr>
          <w:spacing w:val="-5"/>
        </w:rPr>
        <w:t>that </w:t>
      </w:r>
      <w:r>
        <w:rPr/>
        <w:t>boundless view, see </w:t>
      </w:r>
      <w:hyperlink r:id="rId17">
        <w:r>
          <w:rPr>
            <w:i/>
            <w:color w:val="0077CC"/>
            <w:u w:val="single" w:color="0077CC"/>
          </w:rPr>
          <w:t>Rapanos v. United States,  </w:t>
        </w:r>
        <w:r>
          <w:rPr>
            <w:i/>
            <w:color w:val="0077CC"/>
            <w:spacing w:val="-4"/>
            <w:u w:val="single" w:color="0077CC"/>
          </w:rPr>
          <w:t>547</w:t>
        </w:r>
      </w:hyperlink>
      <w:r>
        <w:rPr>
          <w:i/>
          <w:color w:val="0077CC"/>
          <w:spacing w:val="-4"/>
        </w:rPr>
        <w:t> </w:t>
      </w:r>
      <w:hyperlink r:id="rId17">
        <w:r>
          <w:rPr>
            <w:i/>
            <w:color w:val="0077CC"/>
            <w:u w:val="single" w:color="0077CC"/>
          </w:rPr>
          <w:t>U.S.</w:t>
        </w:r>
        <w:r>
          <w:rPr>
            <w:i/>
            <w:color w:val="0077CC"/>
            <w:spacing w:val="16"/>
            <w:u w:val="single" w:color="0077CC"/>
          </w:rPr>
          <w:t> </w:t>
        </w:r>
        <w:r>
          <w:rPr>
            <w:i/>
            <w:color w:val="0077CC"/>
            <w:u w:val="single" w:color="0077CC"/>
          </w:rPr>
          <w:t>715,</w:t>
        </w:r>
        <w:r>
          <w:rPr>
            <w:i/>
            <w:color w:val="0077CC"/>
            <w:spacing w:val="16"/>
            <w:u w:val="single" w:color="0077CC"/>
          </w:rPr>
          <w:t> </w:t>
        </w:r>
        <w:r>
          <w:rPr>
            <w:i/>
            <w:color w:val="0077CC"/>
            <w:u w:val="single" w:color="0077CC"/>
          </w:rPr>
          <w:t>732-739,</w:t>
        </w:r>
        <w:r>
          <w:rPr>
            <w:i/>
            <w:color w:val="0077CC"/>
            <w:spacing w:val="16"/>
            <w:u w:val="single" w:color="0077CC"/>
          </w:rPr>
          <w:t> </w:t>
        </w:r>
        <w:r>
          <w:rPr>
            <w:i/>
            <w:color w:val="0077CC"/>
            <w:u w:val="single" w:color="0077CC"/>
          </w:rPr>
          <w:t>126</w:t>
        </w:r>
        <w:r>
          <w:rPr>
            <w:i/>
            <w:color w:val="0077CC"/>
            <w:spacing w:val="16"/>
            <w:u w:val="single" w:color="0077CC"/>
          </w:rPr>
          <w:t> </w:t>
        </w:r>
        <w:r>
          <w:rPr>
            <w:i/>
            <w:color w:val="0077CC"/>
            <w:u w:val="single" w:color="0077CC"/>
          </w:rPr>
          <w:t>S.</w:t>
        </w:r>
        <w:r>
          <w:rPr>
            <w:i/>
            <w:color w:val="0077CC"/>
            <w:spacing w:val="16"/>
            <w:u w:val="single" w:color="0077CC"/>
          </w:rPr>
          <w:t> </w:t>
        </w:r>
        <w:r>
          <w:rPr>
            <w:i/>
            <w:color w:val="0077CC"/>
            <w:u w:val="single" w:color="0077CC"/>
          </w:rPr>
          <w:t>Ct.</w:t>
        </w:r>
        <w:r>
          <w:rPr>
            <w:i/>
            <w:color w:val="0077CC"/>
            <w:spacing w:val="16"/>
            <w:u w:val="single" w:color="0077CC"/>
          </w:rPr>
          <w:t> </w:t>
        </w:r>
        <w:r>
          <w:rPr>
            <w:i/>
            <w:color w:val="0077CC"/>
            <w:u w:val="single" w:color="0077CC"/>
          </w:rPr>
          <w:t>2208,</w:t>
        </w:r>
        <w:r>
          <w:rPr>
            <w:i/>
            <w:color w:val="0077CC"/>
            <w:spacing w:val="16"/>
            <w:u w:val="single" w:color="0077CC"/>
          </w:rPr>
          <w:t> </w:t>
        </w:r>
        <w:r>
          <w:rPr>
            <w:i/>
            <w:color w:val="0077CC"/>
            <w:u w:val="single" w:color="0077CC"/>
          </w:rPr>
          <w:t>165</w:t>
        </w:r>
        <w:r>
          <w:rPr>
            <w:i/>
            <w:color w:val="0077CC"/>
            <w:spacing w:val="17"/>
            <w:u w:val="single" w:color="0077CC"/>
          </w:rPr>
          <w:t> </w:t>
        </w:r>
        <w:r>
          <w:rPr>
            <w:i/>
            <w:color w:val="0077CC"/>
            <w:u w:val="single" w:color="0077CC"/>
          </w:rPr>
          <w:t>L.</w:t>
        </w:r>
        <w:r>
          <w:rPr>
            <w:i/>
            <w:color w:val="0077CC"/>
            <w:spacing w:val="16"/>
            <w:u w:val="single" w:color="0077CC"/>
          </w:rPr>
          <w:t> </w:t>
        </w:r>
        <w:r>
          <w:rPr>
            <w:i/>
            <w:color w:val="0077CC"/>
            <w:u w:val="single" w:color="0077CC"/>
          </w:rPr>
          <w:t>Ed.</w:t>
        </w:r>
        <w:r>
          <w:rPr>
            <w:i/>
            <w:color w:val="0077CC"/>
            <w:spacing w:val="16"/>
            <w:u w:val="single" w:color="0077CC"/>
          </w:rPr>
          <w:t> </w:t>
        </w:r>
        <w:r>
          <w:rPr>
            <w:i/>
            <w:color w:val="0077CC"/>
            <w:u w:val="single" w:color="0077CC"/>
          </w:rPr>
          <w:t>2d</w:t>
        </w:r>
        <w:r>
          <w:rPr>
            <w:i/>
            <w:color w:val="0077CC"/>
            <w:spacing w:val="16"/>
            <w:u w:val="single" w:color="0077CC"/>
          </w:rPr>
          <w:t> </w:t>
        </w:r>
        <w:r>
          <w:rPr>
            <w:i/>
            <w:color w:val="0077CC"/>
            <w:u w:val="single" w:color="0077CC"/>
          </w:rPr>
          <w:t>159</w:t>
        </w:r>
      </w:hyperlink>
    </w:p>
    <w:p>
      <w:pPr>
        <w:spacing w:line="271" w:lineRule="auto" w:before="2"/>
        <w:ind w:left="100" w:right="117" w:firstLine="0"/>
        <w:jc w:val="both"/>
        <w:rPr>
          <w:i/>
          <w:sz w:val="20"/>
        </w:rPr>
      </w:pPr>
      <w:hyperlink r:id="rId17">
        <w:r>
          <w:rPr>
            <w:i/>
            <w:color w:val="0077CC"/>
            <w:sz w:val="20"/>
            <w:u w:val="single" w:color="0077CC"/>
          </w:rPr>
          <w:t>(2006)</w:t>
        </w:r>
        <w:r>
          <w:rPr>
            <w:i/>
            <w:color w:val="0077CC"/>
            <w:sz w:val="20"/>
          </w:rPr>
          <w:t> </w:t>
        </w:r>
      </w:hyperlink>
      <w:r>
        <w:rPr>
          <w:sz w:val="20"/>
        </w:rPr>
        <w:t>(plurality opinion); </w:t>
      </w:r>
      <w:hyperlink r:id="rId16">
        <w:r>
          <w:rPr>
            <w:i/>
            <w:color w:val="0077CC"/>
            <w:sz w:val="20"/>
            <w:u w:val="single" w:color="0077CC"/>
          </w:rPr>
          <w:t>Solid Waste Agency v. </w:t>
        </w:r>
        <w:r>
          <w:rPr>
            <w:i/>
            <w:color w:val="0077CC"/>
            <w:spacing w:val="-3"/>
            <w:sz w:val="20"/>
            <w:u w:val="single" w:color="0077CC"/>
          </w:rPr>
          <w:t>United</w:t>
        </w:r>
      </w:hyperlink>
      <w:r>
        <w:rPr>
          <w:i/>
          <w:color w:val="0077CC"/>
          <w:spacing w:val="-3"/>
          <w:sz w:val="20"/>
        </w:rPr>
        <w:t> </w:t>
      </w:r>
      <w:hyperlink r:id="rId16">
        <w:r>
          <w:rPr>
            <w:i/>
            <w:color w:val="0077CC"/>
            <w:sz w:val="20"/>
            <w:u w:val="single" w:color="0077CC"/>
          </w:rPr>
          <w:t>States</w:t>
        </w:r>
        <w:r>
          <w:rPr>
            <w:i/>
            <w:color w:val="0077CC"/>
            <w:spacing w:val="35"/>
            <w:sz w:val="20"/>
            <w:u w:val="single" w:color="0077CC"/>
          </w:rPr>
          <w:t> </w:t>
        </w:r>
        <w:r>
          <w:rPr>
            <w:i/>
            <w:color w:val="0077CC"/>
            <w:sz w:val="20"/>
            <w:u w:val="single" w:color="0077CC"/>
          </w:rPr>
          <w:t>Army</w:t>
        </w:r>
        <w:r>
          <w:rPr>
            <w:i/>
            <w:color w:val="0077CC"/>
            <w:spacing w:val="36"/>
            <w:sz w:val="20"/>
            <w:u w:val="single" w:color="0077CC"/>
          </w:rPr>
          <w:t> </w:t>
        </w:r>
        <w:r>
          <w:rPr>
            <w:i/>
            <w:color w:val="0077CC"/>
            <w:sz w:val="20"/>
            <w:u w:val="single" w:color="0077CC"/>
          </w:rPr>
          <w:t>Corps</w:t>
        </w:r>
        <w:r>
          <w:rPr>
            <w:i/>
            <w:color w:val="0077CC"/>
            <w:spacing w:val="36"/>
            <w:sz w:val="20"/>
            <w:u w:val="single" w:color="0077CC"/>
          </w:rPr>
          <w:t> </w:t>
        </w:r>
        <w:r>
          <w:rPr>
            <w:i/>
            <w:color w:val="0077CC"/>
            <w:sz w:val="20"/>
            <w:u w:val="single" w:color="0077CC"/>
          </w:rPr>
          <w:t>of</w:t>
        </w:r>
        <w:r>
          <w:rPr>
            <w:i/>
            <w:color w:val="0077CC"/>
            <w:spacing w:val="36"/>
            <w:sz w:val="20"/>
            <w:u w:val="single" w:color="0077CC"/>
          </w:rPr>
          <w:t> </w:t>
        </w:r>
        <w:r>
          <w:rPr>
            <w:i/>
            <w:color w:val="0077CC"/>
            <w:sz w:val="20"/>
            <w:u w:val="single" w:color="0077CC"/>
          </w:rPr>
          <w:t>Eng'rs,</w:t>
        </w:r>
        <w:r>
          <w:rPr>
            <w:i/>
            <w:color w:val="0077CC"/>
            <w:spacing w:val="36"/>
            <w:sz w:val="20"/>
            <w:u w:val="single" w:color="0077CC"/>
          </w:rPr>
          <w:t> </w:t>
        </w:r>
        <w:r>
          <w:rPr>
            <w:i/>
            <w:color w:val="0077CC"/>
            <w:sz w:val="20"/>
            <w:u w:val="single" w:color="0077CC"/>
          </w:rPr>
          <w:t>531</w:t>
        </w:r>
        <w:r>
          <w:rPr>
            <w:i/>
            <w:color w:val="0077CC"/>
            <w:spacing w:val="36"/>
            <w:sz w:val="20"/>
            <w:u w:val="single" w:color="0077CC"/>
          </w:rPr>
          <w:t> </w:t>
        </w:r>
        <w:r>
          <w:rPr>
            <w:i/>
            <w:color w:val="0077CC"/>
            <w:sz w:val="20"/>
            <w:u w:val="single" w:color="0077CC"/>
          </w:rPr>
          <w:t>U.S.</w:t>
        </w:r>
        <w:r>
          <w:rPr>
            <w:i/>
            <w:color w:val="0077CC"/>
            <w:spacing w:val="36"/>
            <w:sz w:val="20"/>
            <w:u w:val="single" w:color="0077CC"/>
          </w:rPr>
          <w:t> </w:t>
        </w:r>
        <w:r>
          <w:rPr>
            <w:i/>
            <w:color w:val="0077CC"/>
            <w:sz w:val="20"/>
            <w:u w:val="single" w:color="0077CC"/>
          </w:rPr>
          <w:t>159,</w:t>
        </w:r>
        <w:r>
          <w:rPr>
            <w:i/>
            <w:color w:val="0077CC"/>
            <w:spacing w:val="35"/>
            <w:sz w:val="20"/>
            <w:u w:val="single" w:color="0077CC"/>
          </w:rPr>
          <w:t> </w:t>
        </w:r>
        <w:r>
          <w:rPr>
            <w:i/>
            <w:color w:val="0077CC"/>
            <w:sz w:val="20"/>
            <w:u w:val="single" w:color="0077CC"/>
          </w:rPr>
          <w:t>167-174,</w:t>
        </w:r>
      </w:hyperlink>
    </w:p>
    <w:p>
      <w:pPr>
        <w:spacing w:before="0"/>
        <w:ind w:left="100" w:right="0" w:firstLine="0"/>
        <w:jc w:val="both"/>
        <w:rPr>
          <w:sz w:val="20"/>
        </w:rPr>
      </w:pPr>
      <w:hyperlink r:id="rId16">
        <w:r>
          <w:rPr>
            <w:i/>
            <w:color w:val="0077CC"/>
            <w:sz w:val="20"/>
            <w:u w:val="single" w:color="0077CC"/>
          </w:rPr>
          <w:t>121  S.  Ct.  675,  148  L.  Ed.  2d  576  (2001)</w:t>
        </w:r>
      </w:hyperlink>
      <w:r>
        <w:rPr>
          <w:sz w:val="20"/>
        </w:rPr>
        <w:t>,  but </w:t>
      </w:r>
      <w:r>
        <w:rPr>
          <w:spacing w:val="55"/>
          <w:sz w:val="20"/>
        </w:rPr>
        <w:t> </w:t>
      </w:r>
      <w:r>
        <w:rPr>
          <w:sz w:val="20"/>
        </w:rPr>
        <w:t>the</w:t>
      </w:r>
    </w:p>
    <w:p>
      <w:pPr>
        <w:pStyle w:val="BodyText"/>
        <w:spacing w:line="271" w:lineRule="auto" w:before="30"/>
        <w:ind w:left="100" w:right="117"/>
        <w:jc w:val="both"/>
      </w:pPr>
      <w:r>
        <w:rPr/>
        <w:t>precise reach of the Act remains unclear. For 40 years, Congress has done nothing to resolve this critical ambiguity, and the EPA has not seen fit to promulgate </w:t>
      </w:r>
      <w:r>
        <w:rPr>
          <w:spacing w:val="-14"/>
        </w:rPr>
        <w:t>a </w:t>
      </w:r>
      <w:r>
        <w:rPr/>
        <w:t>rule providing a clear and sufficiently limited definition </w:t>
      </w:r>
      <w:r>
        <w:rPr>
          <w:b/>
        </w:rPr>
        <w:t>[****22] </w:t>
      </w:r>
      <w:r>
        <w:rPr/>
        <w:t>of the phrase. Instead, the Agency has relied  on informal guidance. But far from providing clarity </w:t>
      </w:r>
      <w:r>
        <w:rPr>
          <w:spacing w:val="-6"/>
        </w:rPr>
        <w:t>and </w:t>
      </w:r>
      <w:r>
        <w:rPr/>
        <w:t>predictability, the Agency's latest informal guidance advises property owners that many jurisdictional determinations concerning wetlands can only be </w:t>
      </w:r>
      <w:r>
        <w:rPr>
          <w:spacing w:val="-4"/>
        </w:rPr>
        <w:t>made </w:t>
      </w:r>
      <w:r>
        <w:rPr/>
        <w:t>on a case-by-case basis by EPA field staff. See Brief </w:t>
      </w:r>
      <w:r>
        <w:rPr>
          <w:spacing w:val="-6"/>
        </w:rPr>
        <w:t>for </w:t>
      </w:r>
      <w:r>
        <w:rPr/>
        <w:t>Competitive Enterprise Institute as </w:t>
      </w:r>
      <w:r>
        <w:rPr>
          <w:i/>
        </w:rPr>
        <w:t>Amicus Curiae</w:t>
      </w:r>
      <w:r>
        <w:rPr>
          <w:i/>
          <w:spacing w:val="-2"/>
        </w:rPr>
        <w:t> </w:t>
      </w:r>
      <w:r>
        <w:rPr/>
        <w:t>7-13.</w:t>
      </w:r>
    </w:p>
    <w:p>
      <w:pPr>
        <w:pStyle w:val="BodyText"/>
        <w:spacing w:before="6"/>
        <w:rPr>
          <w:sz w:val="17"/>
        </w:rPr>
      </w:pPr>
    </w:p>
    <w:p>
      <w:pPr>
        <w:pStyle w:val="BodyText"/>
        <w:spacing w:line="271" w:lineRule="auto"/>
        <w:ind w:left="100" w:right="117"/>
        <w:jc w:val="both"/>
      </w:pPr>
      <w:bookmarkStart w:name="Bookmark_para_37" w:id="142"/>
      <w:bookmarkEnd w:id="142"/>
      <w:r>
        <w:rPr/>
      </w:r>
      <w:r>
        <w:rPr/>
        <w:t>Allowing aggrieved property owners to sue under the Administrative Procedure </w:t>
      </w:r>
      <w:r>
        <w:rPr>
          <w:b/>
        </w:rPr>
        <w:t>[**1376] </w:t>
      </w:r>
      <w:r>
        <w:rPr/>
        <w:t>Act is better than nothing, but only clarification of the reach of the Clean Water Act can rectify the underlying problem.</w:t>
      </w:r>
    </w:p>
    <w:p>
      <w:pPr>
        <w:pStyle w:val="BodyText"/>
        <w:spacing w:before="10"/>
        <w:rPr>
          <w:sz w:val="19"/>
        </w:rPr>
      </w:pPr>
    </w:p>
    <w:p>
      <w:pPr>
        <w:pStyle w:val="Heading1"/>
      </w:pPr>
      <w:bookmarkStart w:name="References" w:id="143"/>
      <w:bookmarkEnd w:id="143"/>
      <w:r>
        <w:rPr>
          <w:b w:val="0"/>
        </w:rPr>
      </w:r>
      <w:r>
        <w:rPr/>
        <w:t>References</w:t>
      </w:r>
    </w:p>
    <w:p>
      <w:pPr>
        <w:pStyle w:val="BodyText"/>
        <w:spacing w:line="40" w:lineRule="exact"/>
        <w:ind w:left="80"/>
        <w:rPr>
          <w:sz w:val="4"/>
        </w:rPr>
      </w:pPr>
      <w:r>
        <w:rPr>
          <w:position w:val="0"/>
          <w:sz w:val="4"/>
        </w:rPr>
        <w:pict>
          <v:group style="width:251pt;height:2pt;mso-position-horizontal-relative:char;mso-position-vertical-relative:line" coordorigin="0,0" coordsize="5020,40">
            <v:line style="position:absolute" from="0,20" to="5020,20" stroked="true" strokeweight="2pt" strokecolor="#009ddb">
              <v:stroke dashstyle="solid"/>
            </v:line>
          </v:group>
        </w:pict>
      </w:r>
      <w:r>
        <w:rPr>
          <w:position w:val="0"/>
          <w:sz w:val="4"/>
        </w:rPr>
      </w:r>
    </w:p>
    <w:p>
      <w:pPr>
        <w:pStyle w:val="BodyText"/>
        <w:spacing w:before="9"/>
        <w:rPr>
          <w:b/>
          <w:sz w:val="40"/>
        </w:rPr>
      </w:pPr>
    </w:p>
    <w:p>
      <w:pPr>
        <w:spacing w:before="0"/>
        <w:ind w:left="100" w:right="0" w:firstLine="0"/>
        <w:jc w:val="both"/>
        <w:rPr>
          <w:i/>
          <w:sz w:val="20"/>
        </w:rPr>
      </w:pPr>
      <w:r>
        <w:rPr>
          <w:i/>
          <w:sz w:val="20"/>
        </w:rPr>
        <w:t>5 U.S.C.S. § 500 et seq.</w:t>
      </w:r>
      <w:r>
        <w:rPr>
          <w:sz w:val="20"/>
        </w:rPr>
        <w:t>; </w:t>
      </w:r>
      <w:hyperlink r:id="rId10">
        <w:r>
          <w:rPr>
            <w:i/>
            <w:color w:val="0077CC"/>
            <w:sz w:val="20"/>
            <w:u w:val="single" w:color="0077CC"/>
          </w:rPr>
          <w:t>33 U.S.C.S. § 1319</w:t>
        </w:r>
      </w:hyperlink>
    </w:p>
    <w:p>
      <w:pPr>
        <w:pStyle w:val="BodyText"/>
        <w:spacing w:line="271" w:lineRule="auto" w:before="150"/>
        <w:ind w:left="100" w:right="474"/>
      </w:pPr>
      <w:r>
        <w:rPr/>
        <w:t>4 Environmental Law Practice Guide §§18.14, 19.05 (Matthew Bender)</w:t>
      </w:r>
    </w:p>
    <w:p>
      <w:pPr>
        <w:pStyle w:val="BodyText"/>
        <w:spacing w:before="10"/>
      </w:pPr>
    </w:p>
    <w:p>
      <w:pPr>
        <w:spacing w:line="271" w:lineRule="auto" w:before="0"/>
        <w:ind w:left="100" w:right="686" w:firstLine="0"/>
        <w:jc w:val="left"/>
        <w:rPr>
          <w:sz w:val="20"/>
        </w:rPr>
      </w:pPr>
      <w:r>
        <w:rPr>
          <w:sz w:val="20"/>
        </w:rPr>
        <w:t>2</w:t>
      </w:r>
      <w:r>
        <w:rPr>
          <w:color w:val="0077CC"/>
          <w:sz w:val="20"/>
        </w:rPr>
        <w:t> </w:t>
      </w:r>
      <w:hyperlink r:id="rId32">
        <w:r>
          <w:rPr>
            <w:i/>
            <w:color w:val="0077CC"/>
            <w:sz w:val="20"/>
            <w:u w:val="single" w:color="0077CC"/>
          </w:rPr>
          <w:t>Treatise on Environmental Law § 3.03</w:t>
        </w:r>
      </w:hyperlink>
      <w:r>
        <w:rPr>
          <w:i/>
          <w:color w:val="0077CC"/>
          <w:sz w:val="20"/>
        </w:rPr>
        <w:t> </w:t>
      </w:r>
      <w:r>
        <w:rPr>
          <w:sz w:val="20"/>
        </w:rPr>
        <w:t>(Matthew Bender)</w:t>
      </w:r>
    </w:p>
    <w:p>
      <w:pPr>
        <w:pStyle w:val="BodyText"/>
        <w:spacing w:before="120"/>
        <w:ind w:left="100"/>
        <w:jc w:val="both"/>
      </w:pPr>
      <w:r>
        <w:rPr/>
        <w:t>L Ed Digest, Environmental Law § 30</w:t>
      </w:r>
    </w:p>
    <w:p>
      <w:pPr>
        <w:spacing w:after="0"/>
        <w:jc w:val="both"/>
        <w:sectPr>
          <w:type w:val="continuous"/>
          <w:pgSz w:w="12240" w:h="15840"/>
          <w:pgMar w:top="1300" w:bottom="280" w:left="900" w:right="880"/>
          <w:cols w:num="2" w:equalWidth="0">
            <w:col w:w="5141" w:space="99"/>
            <w:col w:w="5220"/>
          </w:cols>
        </w:sectPr>
      </w:pPr>
    </w:p>
    <w:p>
      <w:pPr>
        <w:pStyle w:val="BodyText"/>
        <w:spacing w:before="6"/>
        <w:rPr>
          <w:sz w:val="17"/>
        </w:rPr>
      </w:pPr>
    </w:p>
    <w:p>
      <w:pPr>
        <w:pStyle w:val="BodyText"/>
        <w:spacing w:before="94"/>
        <w:ind w:left="100"/>
      </w:pPr>
      <w:r>
        <w:rPr/>
        <w:t>L Ed Index, Water Pollution</w:t>
      </w:r>
    </w:p>
    <w:p>
      <w:pPr>
        <w:pStyle w:val="BodyText"/>
        <w:spacing w:before="5"/>
        <w:rPr>
          <w:sz w:val="23"/>
        </w:rPr>
      </w:pPr>
    </w:p>
    <w:p>
      <w:pPr>
        <w:spacing w:line="271" w:lineRule="auto" w:before="1"/>
        <w:ind w:left="100" w:right="5437" w:firstLine="0"/>
        <w:jc w:val="left"/>
        <w:rPr>
          <w:sz w:val="20"/>
        </w:rPr>
      </w:pPr>
      <w:r>
        <w:rPr>
          <w:sz w:val="20"/>
        </w:rPr>
        <w:t>Validity, construction, and application of Clean Water Act (CWA) (Federal Water Pollution Control Act) (</w:t>
      </w:r>
      <w:hyperlink r:id="rId34">
        <w:r>
          <w:rPr>
            <w:i/>
            <w:color w:val="0077CC"/>
            <w:sz w:val="20"/>
            <w:u w:val="single" w:color="0077CC"/>
          </w:rPr>
          <w:t>33</w:t>
        </w:r>
      </w:hyperlink>
      <w:r>
        <w:rPr>
          <w:i/>
          <w:color w:val="0077CC"/>
          <w:sz w:val="20"/>
        </w:rPr>
        <w:t> </w:t>
      </w:r>
      <w:hyperlink r:id="rId34">
        <w:r>
          <w:rPr>
            <w:i/>
            <w:color w:val="0077CC"/>
            <w:sz w:val="20"/>
            <w:u w:val="single" w:color="0077CC"/>
          </w:rPr>
          <w:t>U.S.C.S. § 1251 et seq.</w:t>
        </w:r>
      </w:hyperlink>
      <w:r>
        <w:rPr>
          <w:sz w:val="20"/>
        </w:rPr>
        <w:t>)--Supreme Court cases. </w:t>
      </w:r>
      <w:hyperlink r:id="rId35">
        <w:r>
          <w:rPr>
            <w:i/>
            <w:color w:val="0077CC"/>
            <w:sz w:val="20"/>
            <w:u w:val="single" w:color="0077CC"/>
          </w:rPr>
          <w:t>168 L.</w:t>
        </w:r>
      </w:hyperlink>
      <w:r>
        <w:rPr>
          <w:i/>
          <w:color w:val="0077CC"/>
          <w:sz w:val="20"/>
        </w:rPr>
        <w:t> </w:t>
      </w:r>
      <w:hyperlink r:id="rId35">
        <w:r>
          <w:rPr>
            <w:i/>
            <w:color w:val="0077CC"/>
            <w:sz w:val="20"/>
            <w:u w:val="single" w:color="0077CC"/>
          </w:rPr>
          <w:t>Ed. 2d 813</w:t>
        </w:r>
      </w:hyperlink>
      <w:r>
        <w:rPr>
          <w:sz w:val="20"/>
        </w:rPr>
        <w:t>.</w:t>
      </w:r>
    </w:p>
    <w:p>
      <w:pPr>
        <w:pStyle w:val="BodyText"/>
        <w:spacing w:before="8"/>
        <w:rPr>
          <w:sz w:val="12"/>
        </w:rPr>
      </w:pPr>
    </w:p>
    <w:p>
      <w:pPr>
        <w:pStyle w:val="BodyText"/>
        <w:spacing w:line="271" w:lineRule="auto" w:before="94"/>
        <w:ind w:left="100" w:right="5493"/>
      </w:pPr>
      <w:r>
        <w:rPr/>
        <w:t>What constitutes agency “action,” “order,” “decision,” “final order,” “final decision,” or the like, within meaning of federal statutes authorizing judicial review of administrative action--Supreme Court cases. </w:t>
      </w:r>
      <w:hyperlink r:id="rId36">
        <w:r>
          <w:rPr>
            <w:i/>
            <w:color w:val="0077CC"/>
            <w:u w:val="single" w:color="0077CC"/>
          </w:rPr>
          <w:t>47 L. Ed.</w:t>
        </w:r>
      </w:hyperlink>
      <w:r>
        <w:rPr>
          <w:i/>
          <w:color w:val="0077CC"/>
        </w:rPr>
        <w:t> </w:t>
      </w:r>
      <w:hyperlink r:id="rId36">
        <w:r>
          <w:rPr>
            <w:i/>
            <w:color w:val="0077CC"/>
            <w:u w:val="single" w:color="0077CC"/>
          </w:rPr>
          <w:t>2d 843</w:t>
        </w:r>
      </w:hyperlink>
      <w:r>
        <w:rPr/>
        <w:t>.</w:t>
      </w:r>
    </w:p>
    <w:p>
      <w:pPr>
        <w:pStyle w:val="BodyText"/>
      </w:pPr>
    </w:p>
    <w:p>
      <w:pPr>
        <w:pStyle w:val="BodyText"/>
        <w:spacing w:before="6"/>
        <w:rPr>
          <w:sz w:val="14"/>
        </w:rPr>
      </w:pPr>
      <w:r>
        <w:rPr/>
        <w:pict>
          <v:shape style="position:absolute;margin-left:50pt;margin-top:10.847283pt;width:512pt;height:.1pt;mso-position-horizontal-relative:page;mso-position-vertical-relative:paragraph;z-index:-251652096;mso-wrap-distance-left:0;mso-wrap-distance-right:0" coordorigin="1000,217" coordsize="10240,0" path="m1000,217l11240,217e" filled="false" stroked="true" strokeweight="1pt" strokecolor="#000000">
            <v:path arrowok="t"/>
            <v:stroke dashstyle="solid"/>
            <w10:wrap type="topAndBottom"/>
          </v:shape>
        </w:pict>
      </w:r>
    </w:p>
    <w:p>
      <w:pPr>
        <w:spacing w:before="37"/>
        <w:ind w:left="300" w:right="0" w:firstLine="0"/>
        <w:jc w:val="left"/>
        <w:rPr>
          <w:rFonts w:ascii="Times New Roman"/>
          <w:b/>
          <w:sz w:val="16"/>
        </w:rPr>
      </w:pPr>
      <w:r>
        <w:rPr>
          <w:rFonts w:ascii="Times New Roman"/>
          <w:b/>
          <w:color w:val="767676"/>
          <w:sz w:val="16"/>
        </w:rPr>
        <w:t>End of Document</w:t>
      </w:r>
    </w:p>
    <w:sectPr>
      <w:headerReference w:type="default" r:id="rId33"/>
      <w:pgSz w:w="12240" w:h="15840"/>
      <w:pgMar w:header="407" w:footer="0" w:top="900" w:bottom="280" w:left="900" w:right="8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type id="_x0000_t202" o:spt="202" coordsize="21600,21600" path="m,l,21600r21600,l21600,xe">
          <v:stroke joinstyle="miter"/>
          <v:path gradientshapeok="t" o:connecttype="rect"/>
        </v:shapetype>
        <v:shape style="position:absolute;margin-left:500.447998pt;margin-top:19.327265pt;width:53.2pt;height:13.2pt;mso-position-horizontal-relative:page;mso-position-vertical-relative:page;z-index:-252222464" type="#_x0000_t202" filled="false" stroked="false">
          <v:textbox inset="0,0,0,0">
            <w:txbxContent>
              <w:p>
                <w:pPr>
                  <w:pStyle w:val="BodyText"/>
                  <w:spacing w:before="13"/>
                  <w:ind w:left="20"/>
                </w:pPr>
                <w:r>
                  <w:rPr/>
                  <w:t>Page 2 of 7</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00.447998pt;margin-top:19.327265pt;width:53.2pt;height:13.2pt;mso-position-horizontal-relative:page;mso-position-vertical-relative:page;z-index:-252221440" type="#_x0000_t202" filled="false" stroked="false">
          <v:textbox inset="0,0,0,0">
            <w:txbxContent>
              <w:p>
                <w:pPr>
                  <w:pStyle w:val="BodyText"/>
                  <w:spacing w:before="13"/>
                  <w:ind w:left="20"/>
                </w:pPr>
                <w:r>
                  <w:rPr/>
                  <w:t>Page 3 of 7</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9.001465pt;margin-top:19.327265pt;width:474.6pt;height:26.7pt;mso-position-horizontal-relative:page;mso-position-vertical-relative:page;z-index:-252220416" type="#_x0000_t202" filled="false" stroked="false">
          <v:textbox inset="0,0,0,0">
            <w:txbxContent>
              <w:p>
                <w:pPr>
                  <w:pStyle w:val="BodyText"/>
                  <w:spacing w:before="13"/>
                  <w:ind w:left="8448"/>
                </w:pPr>
                <w:r>
                  <w:rPr/>
                  <w:t>Page 5 of 7</w:t>
                </w:r>
              </w:p>
              <w:p>
                <w:pPr>
                  <w:pStyle w:val="BodyText"/>
                  <w:spacing w:before="40"/>
                  <w:ind w:left="20"/>
                </w:pPr>
                <w:r>
                  <w:rPr/>
                  <w:t>566 U.S. 120, *129; 132 S. Ct. 1367, **1373; 182 L. Ed. 2d 367, ***375; 2012 U.S. LEXIS 2320, ****14</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9.001465pt;margin-top:19.327265pt;width:474.6pt;height:26.7pt;mso-position-horizontal-relative:page;mso-position-vertical-relative:page;z-index:-252219392" type="#_x0000_t202" filled="false" stroked="false">
          <v:textbox inset="0,0,0,0">
            <w:txbxContent>
              <w:p>
                <w:pPr>
                  <w:pStyle w:val="BodyText"/>
                  <w:spacing w:before="13"/>
                  <w:ind w:left="8448"/>
                </w:pPr>
                <w:r>
                  <w:rPr/>
                  <w:t>Page 6 of 7</w:t>
                </w:r>
              </w:p>
              <w:p>
                <w:pPr>
                  <w:pStyle w:val="BodyText"/>
                  <w:spacing w:before="40"/>
                  <w:ind w:left="20"/>
                </w:pPr>
                <w:r>
                  <w:rPr/>
                  <w:t>566 U.S. 120, *131; 132 S. Ct. 1367, **1374; 182 L. Ed. 2d 367, ***377; 2012 U.S. LEXIS 2320, ****18</w:t>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9.001465pt;margin-top:19.327265pt;width:474.6pt;height:26.7pt;mso-position-horizontal-relative:page;mso-position-vertical-relative:page;z-index:-252218368" type="#_x0000_t202" filled="false" stroked="false">
          <v:textbox inset="0,0,0,0">
            <w:txbxContent>
              <w:p>
                <w:pPr>
                  <w:pStyle w:val="BodyText"/>
                  <w:spacing w:before="13"/>
                  <w:ind w:left="8448"/>
                </w:pPr>
                <w:r>
                  <w:rPr/>
                  <w:t>Page 7 of 7</w:t>
                </w:r>
              </w:p>
              <w:p>
                <w:pPr>
                  <w:pStyle w:val="BodyText"/>
                  <w:spacing w:before="40"/>
                  <w:ind w:left="20"/>
                </w:pPr>
                <w:r>
                  <w:rPr/>
                  <w:t>566 U.S. 120, *133; 132 S. Ct. 1367, **1376; 182 L. Ed. 2d 367, ***378; 2012 U.S. LEXIS 2320, ****22</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lowerLetter"/>
      <w:lvlText w:val="(%1)"/>
      <w:lvlJc w:val="left"/>
      <w:pPr>
        <w:ind w:left="100" w:hanging="310"/>
        <w:jc w:val="left"/>
      </w:pPr>
      <w:rPr>
        <w:rFonts w:hint="default" w:ascii="Arial" w:hAnsi="Arial" w:eastAsia="Arial" w:cs="Arial"/>
        <w:w w:val="100"/>
        <w:sz w:val="20"/>
        <w:szCs w:val="20"/>
        <w:lang w:val="en-us" w:eastAsia="en-us" w:bidi="en-us"/>
      </w:rPr>
    </w:lvl>
    <w:lvl w:ilvl="1">
      <w:start w:val="0"/>
      <w:numFmt w:val="bullet"/>
      <w:lvlText w:val="•"/>
      <w:lvlJc w:val="left"/>
      <w:pPr>
        <w:ind w:left="612" w:hanging="310"/>
      </w:pPr>
      <w:rPr>
        <w:rFonts w:hint="default"/>
        <w:lang w:val="en-us" w:eastAsia="en-us" w:bidi="en-us"/>
      </w:rPr>
    </w:lvl>
    <w:lvl w:ilvl="2">
      <w:start w:val="0"/>
      <w:numFmt w:val="bullet"/>
      <w:lvlText w:val="•"/>
      <w:lvlJc w:val="left"/>
      <w:pPr>
        <w:ind w:left="1124" w:hanging="310"/>
      </w:pPr>
      <w:rPr>
        <w:rFonts w:hint="default"/>
        <w:lang w:val="en-us" w:eastAsia="en-us" w:bidi="en-us"/>
      </w:rPr>
    </w:lvl>
    <w:lvl w:ilvl="3">
      <w:start w:val="0"/>
      <w:numFmt w:val="bullet"/>
      <w:lvlText w:val="•"/>
      <w:lvlJc w:val="left"/>
      <w:pPr>
        <w:ind w:left="1636" w:hanging="310"/>
      </w:pPr>
      <w:rPr>
        <w:rFonts w:hint="default"/>
        <w:lang w:val="en-us" w:eastAsia="en-us" w:bidi="en-us"/>
      </w:rPr>
    </w:lvl>
    <w:lvl w:ilvl="4">
      <w:start w:val="0"/>
      <w:numFmt w:val="bullet"/>
      <w:lvlText w:val="•"/>
      <w:lvlJc w:val="left"/>
      <w:pPr>
        <w:ind w:left="2148" w:hanging="310"/>
      </w:pPr>
      <w:rPr>
        <w:rFonts w:hint="default"/>
        <w:lang w:val="en-us" w:eastAsia="en-us" w:bidi="en-us"/>
      </w:rPr>
    </w:lvl>
    <w:lvl w:ilvl="5">
      <w:start w:val="0"/>
      <w:numFmt w:val="bullet"/>
      <w:lvlText w:val="•"/>
      <w:lvlJc w:val="left"/>
      <w:pPr>
        <w:ind w:left="2660" w:hanging="310"/>
      </w:pPr>
      <w:rPr>
        <w:rFonts w:hint="default"/>
        <w:lang w:val="en-us" w:eastAsia="en-us" w:bidi="en-us"/>
      </w:rPr>
    </w:lvl>
    <w:lvl w:ilvl="6">
      <w:start w:val="0"/>
      <w:numFmt w:val="bullet"/>
      <w:lvlText w:val="•"/>
      <w:lvlJc w:val="left"/>
      <w:pPr>
        <w:ind w:left="3172" w:hanging="310"/>
      </w:pPr>
      <w:rPr>
        <w:rFonts w:hint="default"/>
        <w:lang w:val="en-us" w:eastAsia="en-us" w:bidi="en-us"/>
      </w:rPr>
    </w:lvl>
    <w:lvl w:ilvl="7">
      <w:start w:val="0"/>
      <w:numFmt w:val="bullet"/>
      <w:lvlText w:val="•"/>
      <w:lvlJc w:val="left"/>
      <w:pPr>
        <w:ind w:left="3684" w:hanging="310"/>
      </w:pPr>
      <w:rPr>
        <w:rFonts w:hint="default"/>
        <w:lang w:val="en-us" w:eastAsia="en-us" w:bidi="en-us"/>
      </w:rPr>
    </w:lvl>
    <w:lvl w:ilvl="8">
      <w:start w:val="0"/>
      <w:numFmt w:val="bullet"/>
      <w:lvlText w:val="•"/>
      <w:lvlJc w:val="left"/>
      <w:pPr>
        <w:ind w:left="4196" w:hanging="310"/>
      </w:pPr>
      <w:rPr>
        <w:rFonts w:hint="default"/>
        <w:lang w:val="en-us" w:eastAsia="en-us" w:bidi="en-u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en-us"/>
    </w:rPr>
  </w:style>
  <w:style w:styleId="BodyText" w:type="paragraph">
    <w:name w:val="Body Text"/>
    <w:basedOn w:val="Normal"/>
    <w:uiPriority w:val="1"/>
    <w:qFormat/>
    <w:pPr/>
    <w:rPr>
      <w:rFonts w:ascii="Arial" w:hAnsi="Arial" w:eastAsia="Arial" w:cs="Arial"/>
      <w:sz w:val="20"/>
      <w:szCs w:val="20"/>
      <w:lang w:val="en-us" w:eastAsia="en-us" w:bidi="en-us"/>
    </w:rPr>
  </w:style>
  <w:style w:styleId="Heading1" w:type="paragraph">
    <w:name w:val="Heading 1"/>
    <w:basedOn w:val="Normal"/>
    <w:uiPriority w:val="1"/>
    <w:qFormat/>
    <w:pPr>
      <w:ind w:left="100"/>
      <w:outlineLvl w:val="1"/>
    </w:pPr>
    <w:rPr>
      <w:rFonts w:ascii="Arial" w:hAnsi="Arial" w:eastAsia="Arial" w:cs="Arial"/>
      <w:b/>
      <w:bCs/>
      <w:sz w:val="28"/>
      <w:szCs w:val="28"/>
      <w:lang w:val="en-us" w:eastAsia="en-us" w:bidi="en-us"/>
    </w:rPr>
  </w:style>
  <w:style w:styleId="ListParagraph" w:type="paragraph">
    <w:name w:val="List Paragraph"/>
    <w:basedOn w:val="Normal"/>
    <w:uiPriority w:val="1"/>
    <w:qFormat/>
    <w:pPr>
      <w:ind w:left="100" w:right="117"/>
      <w:jc w:val="both"/>
    </w:pPr>
    <w:rPr>
      <w:rFonts w:ascii="Arial" w:hAnsi="Arial" w:eastAsia="Arial" w:cs="Arial"/>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s://advance.lexis.com/api/document?collection=cases&amp;id=urn%3AcontentItem%3A5578-CBF1-F04K-F28K-00000-00&amp;context" TargetMode="External"/><Relationship Id="rId6" Type="http://schemas.openxmlformats.org/officeDocument/2006/relationships/hyperlink" Target="https://advance.lexis.com/api/document?collection=cases&amp;id=urn%3AcontentItem%3A55JF-GBS1-F04K-V0PK-00000-00&amp;context" TargetMode="External"/><Relationship Id="rId7" Type="http://schemas.openxmlformats.org/officeDocument/2006/relationships/hyperlink" Target="https://advance.lexis.com/api/document?collection=cases&amp;id=urn%3AcontentItem%3A511S-WW31-652R-8001-00000-00&amp;context" TargetMode="External"/><Relationship Id="rId8" Type="http://schemas.openxmlformats.org/officeDocument/2006/relationships/hyperlink" Target="https://advance.lexis.com/api/document?collection=statutes-legislation&amp;id=urn%3AcontentItem%3A4YF7-GNB1-NRF4-4316-00000-00&amp;context" TargetMode="External"/><Relationship Id="rId9" Type="http://schemas.openxmlformats.org/officeDocument/2006/relationships/hyperlink" Target="https://advance.lexis.com/api/document?collection=statutes-legislation&amp;id=urn%3AcontentItem%3A4YF7-GMR1-NRF4-420F-00000-00&amp;context" TargetMode="External"/><Relationship Id="rId10" Type="http://schemas.openxmlformats.org/officeDocument/2006/relationships/hyperlink" Target="https://advance.lexis.com/api/document?collection=statutes-legislation&amp;id=urn%3AcontentItem%3A4YF7-GM61-NRF4-41R5-00000-00&amp;context" TargetMode="External"/><Relationship Id="rId11" Type="http://schemas.openxmlformats.org/officeDocument/2006/relationships/hyperlink" Target="https://advance.lexis.com/api/document?collection=cases&amp;id=urn%3AcontentItem%3A3S65-J150-003B-R2DB-00000-00&amp;context" TargetMode="External"/><Relationship Id="rId12" Type="http://schemas.openxmlformats.org/officeDocument/2006/relationships/hyperlink" Target="https://advance.lexis.com/api/document?collection=administrative-codes&amp;id=urn%3AcontentItem%3A56G5-M4P0-008H-02BD-00000-00&amp;context" TargetMode="External"/><Relationship Id="rId13" Type="http://schemas.openxmlformats.org/officeDocument/2006/relationships/header" Target="header1.xml"/><Relationship Id="rId14" Type="http://schemas.openxmlformats.org/officeDocument/2006/relationships/hyperlink" Target="https://advance.lexis.com/api/document?collection=cases&amp;id=urn%3AcontentItem%3A3S4X-3DB0-003B-S3CJ-00000-00&amp;context" TargetMode="External"/><Relationship Id="rId15" Type="http://schemas.openxmlformats.org/officeDocument/2006/relationships/hyperlink" Target="https://advance.lexis.com/api/document?collection=cases&amp;id=urn%3AcontentItem%3A3S4X-8XP0-0039-N1VX-00000-00&amp;context" TargetMode="External"/><Relationship Id="rId16" Type="http://schemas.openxmlformats.org/officeDocument/2006/relationships/hyperlink" Target="https://advance.lexis.com/api/document?collection=cases&amp;id=urn%3AcontentItem%3A4238-TKY0-004C-1015-00000-00&amp;context" TargetMode="External"/><Relationship Id="rId17" Type="http://schemas.openxmlformats.org/officeDocument/2006/relationships/hyperlink" Target="https://advance.lexis.com/api/document?collection=cases&amp;id=urn%3AcontentItem%3A4K71-7800-004C-200K-00000-00&amp;context" TargetMode="External"/><Relationship Id="rId18" Type="http://schemas.openxmlformats.org/officeDocument/2006/relationships/hyperlink" Target="https://advance.lexis.com/api/document?collection=statutes-legislation&amp;id=urn%3AcontentItem%3A4YF7-GR91-NRF4-41N0-00000-00&amp;context" TargetMode="External"/><Relationship Id="rId19" Type="http://schemas.openxmlformats.org/officeDocument/2006/relationships/hyperlink" Target="https://advance.lexis.com/api/document?collection=statutes-legislation&amp;id=urn%3AcontentItem%3A4YF7-GP01-NRF4-44H2-00000-00&amp;context" TargetMode="External"/><Relationship Id="rId20" Type="http://schemas.openxmlformats.org/officeDocument/2006/relationships/hyperlink" Target="https://advance.lexis.com/api/document?collection=statutes-legislation&amp;id=urn%3AcontentItem%3A4YF7-GW01-NRF4-4181-00000-00&amp;context" TargetMode="External"/><Relationship Id="rId21" Type="http://schemas.openxmlformats.org/officeDocument/2006/relationships/hyperlink" Target="https://advance.lexis.com/api/document?collection=administrative-codes&amp;id=urn%3AcontentItem%3A4VB0-80W0-006W-80TD-00000-00&amp;context" TargetMode="External"/><Relationship Id="rId22" Type="http://schemas.openxmlformats.org/officeDocument/2006/relationships/header" Target="header2.xml"/><Relationship Id="rId23" Type="http://schemas.openxmlformats.org/officeDocument/2006/relationships/hyperlink" Target="https://advance.lexis.com/api/document?collection=administrative-codes&amp;id=urn%3AcontentItem%3A5TSJ-3W50-008H-04G3-00000-00&amp;context" TargetMode="External"/><Relationship Id="rId24" Type="http://schemas.openxmlformats.org/officeDocument/2006/relationships/hyperlink" Target="https://advance.lexis.com/api/document?collection=administrative-codes&amp;id=urn%3AcontentItem%3A5RMY-PKM0-008H-013W-00000-00&amp;context" TargetMode="External"/><Relationship Id="rId25" Type="http://schemas.openxmlformats.org/officeDocument/2006/relationships/hyperlink" Target="https://advance.lexis.com/api/document?collection=cases&amp;id=urn%3AcontentItem%3A3S4X-DT50-003B-S55J-00000-00&amp;context" TargetMode="External"/><Relationship Id="rId26" Type="http://schemas.openxmlformats.org/officeDocument/2006/relationships/header" Target="header3.xml"/><Relationship Id="rId27" Type="http://schemas.openxmlformats.org/officeDocument/2006/relationships/hyperlink" Target="https://advance.lexis.com/api/document?collection=cases&amp;id=urn%3AcontentItem%3A3S4X-JT40-003B-S4G4-00000-00&amp;context" TargetMode="External"/><Relationship Id="rId28" Type="http://schemas.openxmlformats.org/officeDocument/2006/relationships/header" Target="header4.xml"/><Relationship Id="rId29" Type="http://schemas.openxmlformats.org/officeDocument/2006/relationships/hyperlink" Target="https://advance.lexis.com/api/document?collection=cases&amp;id=urn%3AcontentItem%3A3S4X-5JM0-003B-S0M8-00000-00&amp;context" TargetMode="External"/><Relationship Id="rId30" Type="http://schemas.openxmlformats.org/officeDocument/2006/relationships/hyperlink" Target="https://advance.lexis.com/api/document?collection=cases&amp;id=urn%3AcontentItem%3A3S4X-FXM0-003B-413N-00000-00&amp;context" TargetMode="External"/><Relationship Id="rId31" Type="http://schemas.openxmlformats.org/officeDocument/2006/relationships/header" Target="header5.xml"/><Relationship Id="rId32" Type="http://schemas.openxmlformats.org/officeDocument/2006/relationships/hyperlink" Target="https://advance.lexis.com/api/document?collection=analytical-materials&amp;id=urn%3AcontentItem%3A5596-1PP0-R03M-22PD-00000-00&amp;context" TargetMode="External"/><Relationship Id="rId33" Type="http://schemas.openxmlformats.org/officeDocument/2006/relationships/header" Target="header6.xml"/><Relationship Id="rId34" Type="http://schemas.openxmlformats.org/officeDocument/2006/relationships/hyperlink" Target="https://advance.lexis.com/api/document?collection=statutes-legislation&amp;id=urn%3AcontentItem%3A4YF7-GPP1-NRF4-40KG-00000-00&amp;context" TargetMode="External"/><Relationship Id="rId35" Type="http://schemas.openxmlformats.org/officeDocument/2006/relationships/hyperlink" Target="https://advance.lexis.com/api/document?collection=analytical-materials&amp;id=urn%3AcontentItem%3A56GT-S7V0-006F-B0SD-00000-00&amp;context" TargetMode="External"/><Relationship Id="rId36" Type="http://schemas.openxmlformats.org/officeDocument/2006/relationships/hyperlink" Target="https://advance.lexis.com/api/document?collection=analytical-materials&amp;id=urn%3AcontentItem%3A56GN-82M0-006F-B0BF-00000-00&amp;context" TargetMode="External"/><Relationship Id="rId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Sackett v. EPA</dc:title>
  <dcterms:created xsi:type="dcterms:W3CDTF">2020-11-24T04:57:59Z</dcterms:created>
  <dcterms:modified xsi:type="dcterms:W3CDTF">2020-11-24T04:57:59Z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Aspose Ltd.</vt:lpwstr>
  </property>
  <property fmtid="{D5CDD505-2E9C-101B-9397-08002B2CF9AE}" pid="3" name="LastSaved">
    <vt:filetime>2020-11-24T00:00:00Z</vt:filetime>
  </property>
</Properties>
</file>